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8D644" w14:textId="41F4809D" w:rsidR="004241AC" w:rsidRPr="00E07512" w:rsidRDefault="004979D3" w:rsidP="004241AC">
      <w:pPr>
        <w:spacing w:after="0" w:line="240" w:lineRule="auto"/>
        <w:jc w:val="center"/>
        <w:rPr>
          <w:rFonts w:cs="Calibri"/>
          <w:sz w:val="24"/>
          <w:szCs w:val="24"/>
          <w:lang w:val="en-US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06303714" wp14:editId="7FD5B024">
            <wp:simplePos x="0" y="0"/>
            <wp:positionH relativeFrom="character">
              <wp:posOffset>-1252220</wp:posOffset>
            </wp:positionH>
            <wp:positionV relativeFrom="line">
              <wp:posOffset>1270</wp:posOffset>
            </wp:positionV>
            <wp:extent cx="2529840" cy="937895"/>
            <wp:effectExtent l="0" t="0" r="0" b="0"/>
            <wp:wrapSquare wrapText="bothSides"/>
            <wp:docPr id="2102880888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0D940" w14:textId="77777777" w:rsidR="004241AC" w:rsidRPr="00E07512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D8B5153" w14:textId="77777777" w:rsidR="006222F7" w:rsidRPr="00E07512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bookmarkStart w:id="0" w:name="Text15"/>
    </w:p>
    <w:p w14:paraId="64BBDEA0" w14:textId="77777777" w:rsidR="006222F7" w:rsidRPr="00E07512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6589B89" w14:textId="77777777" w:rsidR="006222F7" w:rsidRPr="00E07512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0539076" w14:textId="77777777" w:rsidR="006222F7" w:rsidRPr="00E07512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0D9F9D4" w14:textId="77777777" w:rsidR="006222F7" w:rsidRPr="00E07512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551F044" w14:textId="15F0385B" w:rsidR="00823F4C" w:rsidRPr="00E07512" w:rsidRDefault="00823F4C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Relazione Pubblica di Valutazione</w:t>
      </w:r>
    </w:p>
    <w:p w14:paraId="737B27A9" w14:textId="77777777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56AD6439" w14:textId="77777777" w:rsidR="00823F4C" w:rsidRPr="00E07512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54EAB2DA" w14:textId="77777777" w:rsidR="004609F8" w:rsidRPr="00E07512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  <w:highlight w:val="yellow"/>
        </w:rPr>
      </w:pPr>
    </w:p>
    <w:p w14:paraId="4ADC2E5C" w14:textId="3C7BD995" w:rsidR="00BF7A42" w:rsidRPr="00E07512" w:rsidRDefault="00FC053B">
      <w:pPr>
        <w:widowControl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TIZANIDINA DOC</w:t>
      </w:r>
    </w:p>
    <w:p w14:paraId="7BEB5F1A" w14:textId="77777777" w:rsidR="004609F8" w:rsidRPr="00E07512" w:rsidRDefault="004609F8" w:rsidP="004241AC">
      <w:pPr>
        <w:widowControl w:val="0"/>
        <w:spacing w:after="0" w:line="240" w:lineRule="auto"/>
        <w:jc w:val="center"/>
        <w:rPr>
          <w:rFonts w:cs="Calibri"/>
          <w:snapToGrid w:val="0"/>
          <w:sz w:val="24"/>
          <w:szCs w:val="24"/>
        </w:rPr>
      </w:pPr>
    </w:p>
    <w:p w14:paraId="0FAC66ED" w14:textId="6E669FEB" w:rsidR="004241AC" w:rsidRPr="00E07512" w:rsidRDefault="004241AC" w:rsidP="004241AC">
      <w:pPr>
        <w:widowControl w:val="0"/>
        <w:spacing w:after="0" w:line="240" w:lineRule="auto"/>
        <w:jc w:val="center"/>
        <w:rPr>
          <w:rFonts w:cs="Calibri"/>
          <w:snapToGrid w:val="0"/>
          <w:sz w:val="24"/>
          <w:szCs w:val="24"/>
        </w:rPr>
      </w:pPr>
      <w:r w:rsidRPr="00E07512">
        <w:rPr>
          <w:rFonts w:cs="Calibri"/>
          <w:snapToGrid w:val="0"/>
          <w:sz w:val="24"/>
          <w:szCs w:val="24"/>
        </w:rPr>
        <w:t>(</w:t>
      </w:r>
      <w:r w:rsidR="00B93C72">
        <w:rPr>
          <w:rFonts w:cs="Calibri"/>
          <w:snapToGrid w:val="0"/>
          <w:sz w:val="24"/>
          <w:szCs w:val="24"/>
        </w:rPr>
        <w:t>tizanidina</w:t>
      </w:r>
      <w:r w:rsidR="002A1800" w:rsidRPr="00E07512">
        <w:rPr>
          <w:rFonts w:cs="Calibri"/>
          <w:snapToGrid w:val="0"/>
          <w:sz w:val="24"/>
          <w:szCs w:val="24"/>
        </w:rPr>
        <w:t xml:space="preserve">, </w:t>
      </w:r>
      <w:r w:rsidR="007E4C42">
        <w:rPr>
          <w:rFonts w:cs="Calibri"/>
          <w:snapToGrid w:val="0"/>
          <w:sz w:val="24"/>
          <w:szCs w:val="24"/>
        </w:rPr>
        <w:t>compresse, 2</w:t>
      </w:r>
      <w:r w:rsidR="008F4178">
        <w:rPr>
          <w:rFonts w:cs="Calibri"/>
          <w:snapToGrid w:val="0"/>
          <w:sz w:val="24"/>
          <w:szCs w:val="24"/>
        </w:rPr>
        <w:t xml:space="preserve"> </w:t>
      </w:r>
      <w:r w:rsidR="007E4C42">
        <w:rPr>
          <w:rFonts w:cs="Calibri"/>
          <w:snapToGrid w:val="0"/>
          <w:sz w:val="24"/>
          <w:szCs w:val="24"/>
        </w:rPr>
        <w:t>mg e 4 mg</w:t>
      </w:r>
      <w:r w:rsidRPr="00E07512">
        <w:rPr>
          <w:rFonts w:cs="Calibri"/>
          <w:snapToGrid w:val="0"/>
          <w:sz w:val="24"/>
          <w:szCs w:val="24"/>
        </w:rPr>
        <w:t>)</w:t>
      </w:r>
    </w:p>
    <w:p w14:paraId="63F55CF3" w14:textId="77777777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6FBC1B9" w14:textId="77777777" w:rsidR="004609F8" w:rsidRPr="00E07512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343C22F" w14:textId="77777777" w:rsidR="00797416" w:rsidRPr="00E07512" w:rsidRDefault="002A1800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Titolare AIC</w:t>
      </w:r>
    </w:p>
    <w:p w14:paraId="297D2EBC" w14:textId="196B66A2" w:rsidR="00EC3589" w:rsidRPr="00E07512" w:rsidRDefault="007E4C42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</w:t>
      </w:r>
      <w:r w:rsidR="005C3568">
        <w:rPr>
          <w:rFonts w:cs="Calibri"/>
          <w:b/>
          <w:sz w:val="24"/>
          <w:szCs w:val="24"/>
        </w:rPr>
        <w:t>OC Generici S.r.l.</w:t>
      </w:r>
    </w:p>
    <w:p w14:paraId="4276BBD6" w14:textId="77777777" w:rsidR="004609F8" w:rsidRPr="00E07512" w:rsidRDefault="004609F8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010DCE7" w14:textId="0E019F8E" w:rsidR="004241AC" w:rsidRPr="00E07512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 xml:space="preserve">Numero di AIC: </w:t>
      </w:r>
      <w:r w:rsidR="00B93C72" w:rsidRPr="00B93C72">
        <w:rPr>
          <w:rFonts w:cs="Calibri"/>
          <w:b/>
          <w:sz w:val="24"/>
          <w:szCs w:val="24"/>
        </w:rPr>
        <w:t>05023</w:t>
      </w:r>
      <w:r w:rsidR="00B93C72">
        <w:rPr>
          <w:rFonts w:cs="Calibri"/>
          <w:b/>
          <w:sz w:val="24"/>
          <w:szCs w:val="24"/>
        </w:rPr>
        <w:t>3</w:t>
      </w:r>
    </w:p>
    <w:p w14:paraId="01F773CC" w14:textId="77777777" w:rsidR="00797416" w:rsidRPr="00E07512" w:rsidRDefault="00797416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bookmarkEnd w:id="0"/>
    <w:p w14:paraId="0D21FF7A" w14:textId="77777777" w:rsidR="004241AC" w:rsidRPr="00E07512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C529ECC" w14:textId="77777777" w:rsidR="004E5A39" w:rsidRPr="00E07512" w:rsidRDefault="004E5A39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8A2E0C7" w14:textId="77777777" w:rsidR="004E5A39" w:rsidRPr="00E07512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4"/>
          <w:szCs w:val="24"/>
          <w:lang w:eastAsia="it-IT"/>
        </w:rPr>
      </w:pPr>
      <w:r w:rsidRPr="00E07512">
        <w:rPr>
          <w:rFonts w:cs="Calibri"/>
          <w:b/>
          <w:color w:val="000000"/>
          <w:sz w:val="24"/>
          <w:szCs w:val="24"/>
          <w:lang w:eastAsia="it-IT"/>
        </w:rPr>
        <w:t>RIASSUNTO DELLA RELAZIONE PUBBLICA DI VALUTAZIONE</w:t>
      </w:r>
    </w:p>
    <w:p w14:paraId="5B95F368" w14:textId="77777777" w:rsidR="004E5A39" w:rsidRPr="00E07512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22A7B0B4" w14:textId="7828F893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it-IT"/>
        </w:rPr>
      </w:pPr>
      <w:r w:rsidRPr="00E07512">
        <w:rPr>
          <w:rFonts w:cs="Calibri"/>
          <w:color w:val="000000"/>
          <w:sz w:val="24"/>
          <w:szCs w:val="24"/>
          <w:lang w:eastAsia="it-IT"/>
        </w:rPr>
        <w:t xml:space="preserve">Questa è la sintesi del </w:t>
      </w:r>
      <w:r w:rsidRPr="00E07512">
        <w:rPr>
          <w:rFonts w:cs="Calibri"/>
          <w:i/>
          <w:color w:val="000000"/>
          <w:sz w:val="24"/>
          <w:szCs w:val="24"/>
          <w:lang w:eastAsia="it-IT"/>
        </w:rPr>
        <w:t>Public Assessment Report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(PAR) per </w:t>
      </w:r>
      <w:r w:rsidR="008F4178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color w:val="000000"/>
          <w:sz w:val="24"/>
          <w:szCs w:val="24"/>
          <w:lang w:eastAsia="it-IT"/>
        </w:rPr>
        <w:t>.</w:t>
      </w:r>
      <w:r w:rsidRPr="00E07512">
        <w:rPr>
          <w:rFonts w:cs="Calibri"/>
          <w:bCs/>
          <w:color w:val="000000"/>
          <w:sz w:val="24"/>
          <w:szCs w:val="24"/>
          <w:lang w:eastAsia="it-IT"/>
        </w:rPr>
        <w:t xml:space="preserve"> </w:t>
      </w:r>
      <w:r w:rsidR="006C0722" w:rsidRPr="00E07512">
        <w:rPr>
          <w:rFonts w:cs="Calibri"/>
          <w:bCs/>
          <w:color w:val="000000"/>
          <w:sz w:val="24"/>
          <w:szCs w:val="24"/>
          <w:lang w:eastAsia="it-IT"/>
        </w:rPr>
        <w:t xml:space="preserve">In </w:t>
      </w:r>
      <w:r w:rsidR="006C0722" w:rsidRPr="00E07512">
        <w:rPr>
          <w:rFonts w:cs="Calibri"/>
          <w:color w:val="000000"/>
          <w:sz w:val="24"/>
          <w:szCs w:val="24"/>
          <w:lang w:eastAsia="it-IT"/>
        </w:rPr>
        <w:t>e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sso </w:t>
      </w:r>
      <w:r w:rsidR="006C0722" w:rsidRPr="00E07512">
        <w:rPr>
          <w:rFonts w:cs="Calibri"/>
          <w:color w:val="000000"/>
          <w:sz w:val="24"/>
          <w:szCs w:val="24"/>
          <w:lang w:eastAsia="it-IT"/>
        </w:rPr>
        <w:t xml:space="preserve">viene </w:t>
      </w:r>
      <w:r w:rsidRPr="00E07512">
        <w:rPr>
          <w:rFonts w:cs="Calibri"/>
          <w:color w:val="000000"/>
          <w:sz w:val="24"/>
          <w:szCs w:val="24"/>
          <w:lang w:eastAsia="it-IT"/>
        </w:rPr>
        <w:t>spiega</w:t>
      </w:r>
      <w:r w:rsidR="006C0722" w:rsidRPr="00E07512">
        <w:rPr>
          <w:rFonts w:cs="Calibri"/>
          <w:color w:val="000000"/>
          <w:sz w:val="24"/>
          <w:szCs w:val="24"/>
          <w:lang w:eastAsia="it-IT"/>
        </w:rPr>
        <w:t>to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come </w:t>
      </w:r>
      <w:r w:rsidR="008F4178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è stato valutato </w:t>
      </w:r>
      <w:r w:rsidR="000C1389" w:rsidRPr="00E07512">
        <w:rPr>
          <w:rFonts w:cs="Calibri"/>
          <w:color w:val="000000"/>
          <w:sz w:val="24"/>
          <w:szCs w:val="24"/>
          <w:lang w:eastAsia="it-IT"/>
        </w:rPr>
        <w:t>dall’AIFA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e</w:t>
      </w:r>
      <w:r w:rsidR="006C0722" w:rsidRPr="00E07512">
        <w:rPr>
          <w:rFonts w:cs="Calibri"/>
          <w:color w:val="000000"/>
          <w:sz w:val="24"/>
          <w:szCs w:val="24"/>
          <w:lang w:eastAsia="it-IT"/>
        </w:rPr>
        <w:t xml:space="preserve"> quali sono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le sue condizioni di impiego. </w:t>
      </w:r>
      <w:r w:rsidR="006C0722" w:rsidRPr="00E07512">
        <w:rPr>
          <w:rFonts w:cs="Calibri"/>
          <w:color w:val="000000"/>
          <w:sz w:val="24"/>
          <w:szCs w:val="24"/>
          <w:lang w:eastAsia="it-IT"/>
        </w:rPr>
        <w:t>Il documento n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on intende fornire consigli pratici su come utilizzare </w:t>
      </w:r>
      <w:r w:rsidR="008F4178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Cs/>
          <w:color w:val="000000"/>
          <w:sz w:val="24"/>
          <w:szCs w:val="24"/>
          <w:lang w:eastAsia="it-IT"/>
        </w:rPr>
        <w:t>.</w:t>
      </w:r>
    </w:p>
    <w:p w14:paraId="1632ADA7" w14:textId="56D52320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07512">
        <w:rPr>
          <w:rFonts w:cs="Calibri"/>
          <w:color w:val="000000"/>
          <w:sz w:val="24"/>
          <w:szCs w:val="24"/>
          <w:lang w:eastAsia="it-IT"/>
        </w:rPr>
        <w:t>Per informazioni pratiche sull'utilizzo di</w:t>
      </w:r>
      <w:r w:rsidRPr="00E07512">
        <w:rPr>
          <w:rFonts w:cs="Calibri"/>
          <w:bCs/>
          <w:color w:val="000000"/>
          <w:sz w:val="24"/>
          <w:szCs w:val="24"/>
          <w:lang w:eastAsia="it-IT"/>
        </w:rPr>
        <w:t xml:space="preserve"> </w:t>
      </w:r>
      <w:r w:rsidR="008F4178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6C0722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7EA044AF" w14:textId="77777777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6577E95B" w14:textId="3F58E984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  <w:lang w:eastAsia="it-IT"/>
        </w:rPr>
      </w:pP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 xml:space="preserve">1) COS’È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="00797416" w:rsidRPr="00E07512">
        <w:rPr>
          <w:rFonts w:cs="Calibri"/>
          <w:b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 xml:space="preserve">E A COSA SERVE? </w:t>
      </w:r>
    </w:p>
    <w:p w14:paraId="6BC8C192" w14:textId="49B1690D" w:rsidR="00797416" w:rsidRPr="00E07512" w:rsidRDefault="008F4178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>è un medicinale</w:t>
      </w:r>
      <w:r w:rsidR="009565BA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 xml:space="preserve">contenente il principio attivo </w:t>
      </w:r>
      <w:r w:rsidR="00B93C72">
        <w:rPr>
          <w:rFonts w:cs="Calibri"/>
          <w:color w:val="000000"/>
          <w:sz w:val="24"/>
          <w:szCs w:val="24"/>
          <w:lang w:eastAsia="it-IT"/>
        </w:rPr>
        <w:t>tizanidina</w:t>
      </w:r>
      <w:r w:rsidR="00A250CE">
        <w:rPr>
          <w:rFonts w:cs="Calibri"/>
          <w:color w:val="000000"/>
          <w:sz w:val="24"/>
          <w:szCs w:val="24"/>
          <w:lang w:eastAsia="it-IT"/>
        </w:rPr>
        <w:t xml:space="preserve"> cloridrat</w:t>
      </w:r>
      <w:r w:rsidR="006E0FA0">
        <w:rPr>
          <w:rFonts w:cs="Calibri"/>
          <w:color w:val="000000"/>
          <w:sz w:val="24"/>
          <w:szCs w:val="24"/>
          <w:lang w:eastAsia="it-IT"/>
        </w:rPr>
        <w:t>o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 xml:space="preserve">ed 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>è disponibile come</w:t>
      </w:r>
      <w:r w:rsidR="006E0FA0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compresse, 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>contenent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>i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3D5B2F">
        <w:rPr>
          <w:rFonts w:cs="Calibri"/>
          <w:color w:val="000000"/>
          <w:sz w:val="24"/>
          <w:szCs w:val="24"/>
          <w:lang w:eastAsia="it-IT"/>
        </w:rPr>
        <w:t>2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 mg </w:t>
      </w:r>
      <w:r w:rsidR="003D5B2F">
        <w:rPr>
          <w:rFonts w:cs="Calibri"/>
          <w:color w:val="000000"/>
          <w:sz w:val="24"/>
          <w:szCs w:val="24"/>
          <w:lang w:eastAsia="it-IT"/>
        </w:rPr>
        <w:t>o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3D5B2F">
        <w:rPr>
          <w:rFonts w:cs="Calibri"/>
          <w:color w:val="000000"/>
          <w:sz w:val="24"/>
          <w:szCs w:val="24"/>
          <w:lang w:eastAsia="it-IT"/>
        </w:rPr>
        <w:t>4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 mg di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 xml:space="preserve"> principio attivo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>;</w:t>
      </w:r>
    </w:p>
    <w:p w14:paraId="2556BC90" w14:textId="77777777" w:rsidR="00A43DCB" w:rsidRDefault="00A43DCB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1C98C7A2" w14:textId="3617FD2D" w:rsidR="00B02668" w:rsidRDefault="009B6210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u w:val="single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 xml:space="preserve">è un “medicinale generico”, cioè è analogo ad un “medicinale di riferimento”, </w:t>
      </w:r>
      <w:r w:rsidR="00A43DCB">
        <w:rPr>
          <w:rFonts w:cs="Calibri"/>
          <w:color w:val="000000"/>
          <w:sz w:val="24"/>
          <w:szCs w:val="24"/>
          <w:lang w:eastAsia="it-IT"/>
        </w:rPr>
        <w:t>Sirda</w:t>
      </w:r>
      <w:r w:rsidR="00485A21">
        <w:rPr>
          <w:rFonts w:cs="Calibri"/>
          <w:color w:val="000000"/>
          <w:sz w:val="24"/>
          <w:szCs w:val="24"/>
          <w:lang w:eastAsia="it-IT"/>
        </w:rPr>
        <w:t>lud</w:t>
      </w:r>
      <w:r w:rsidR="00797416" w:rsidRPr="00E07512">
        <w:rPr>
          <w:rFonts w:cs="Calibri"/>
          <w:color w:val="000000"/>
          <w:sz w:val="24"/>
          <w:szCs w:val="24"/>
          <w:lang w:eastAsia="it-IT"/>
        </w:rPr>
        <w:t xml:space="preserve">, </w:t>
      </w:r>
      <w:r w:rsidR="00934E9E" w:rsidRPr="00E07512">
        <w:rPr>
          <w:rFonts w:cs="Calibri"/>
          <w:color w:val="000000"/>
          <w:sz w:val="24"/>
          <w:szCs w:val="24"/>
          <w:lang w:eastAsia="it-IT"/>
        </w:rPr>
        <w:t>autorizzato</w:t>
      </w:r>
      <w:r w:rsidR="00934E9E" w:rsidRPr="00E07512">
        <w:rPr>
          <w:rFonts w:cs="Calibri"/>
          <w:color w:val="000000"/>
          <w:sz w:val="24"/>
          <w:szCs w:val="24"/>
          <w:u w:val="single"/>
          <w:lang w:eastAsia="it-IT"/>
        </w:rPr>
        <w:t xml:space="preserve"> in</w:t>
      </w:r>
      <w:r w:rsidR="00F76F77" w:rsidRPr="00E07512">
        <w:rPr>
          <w:rFonts w:cs="Calibri"/>
          <w:color w:val="000000"/>
          <w:sz w:val="24"/>
          <w:szCs w:val="24"/>
          <w:u w:val="single"/>
          <w:lang w:eastAsia="it-IT"/>
        </w:rPr>
        <w:t xml:space="preserve"> Italia</w:t>
      </w:r>
      <w:r w:rsidR="00A84362" w:rsidRPr="00E07512">
        <w:rPr>
          <w:rFonts w:cs="Calibri"/>
          <w:color w:val="000000"/>
          <w:sz w:val="24"/>
          <w:szCs w:val="24"/>
          <w:u w:val="single"/>
          <w:lang w:eastAsia="it-IT"/>
        </w:rPr>
        <w:t xml:space="preserve"> </w:t>
      </w:r>
      <w:r w:rsidR="00B03E01" w:rsidRPr="00E07512">
        <w:rPr>
          <w:rFonts w:cs="Calibri"/>
          <w:color w:val="000000"/>
          <w:sz w:val="24"/>
          <w:szCs w:val="24"/>
          <w:u w:val="single"/>
          <w:lang w:eastAsia="it-IT"/>
        </w:rPr>
        <w:t xml:space="preserve">da </w:t>
      </w:r>
      <w:r w:rsidR="00CC1489" w:rsidRPr="00E07512">
        <w:rPr>
          <w:rFonts w:cs="Calibri"/>
          <w:color w:val="000000"/>
          <w:sz w:val="24"/>
          <w:szCs w:val="24"/>
          <w:u w:val="single"/>
          <w:lang w:eastAsia="it-IT"/>
        </w:rPr>
        <w:t>almeno 8 anni</w:t>
      </w:r>
    </w:p>
    <w:p w14:paraId="046FC3FB" w14:textId="51587EF0" w:rsidR="00B03E01" w:rsidRPr="00E07512" w:rsidRDefault="00F65BF7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B15135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15135" w:rsidRPr="00E07512">
        <w:rPr>
          <w:rFonts w:cs="Calibri"/>
          <w:color w:val="000000"/>
          <w:sz w:val="24"/>
          <w:szCs w:val="24"/>
        </w:rPr>
        <w:t xml:space="preserve">può essere immesso in commercio solo dopo che sono trascorsi 10 anni dall'autorizzazione iniziale del medicinale di riferimento.  </w:t>
      </w:r>
      <w:r w:rsidR="00B03E01" w:rsidRPr="00E07512">
        <w:rPr>
          <w:rFonts w:cs="Calibri"/>
          <w:color w:val="000000"/>
          <w:sz w:val="24"/>
          <w:szCs w:val="24"/>
          <w:lang w:eastAsia="it-IT"/>
        </w:rPr>
        <w:t>Sul sito dell’Agenz</w:t>
      </w:r>
      <w:r w:rsidR="00132B98" w:rsidRPr="00E07512">
        <w:rPr>
          <w:rFonts w:cs="Calibri"/>
          <w:color w:val="000000"/>
          <w:sz w:val="24"/>
          <w:szCs w:val="24"/>
          <w:lang w:eastAsia="it-IT"/>
        </w:rPr>
        <w:t xml:space="preserve">ia Italiana del Farmaco (AIFA) </w:t>
      </w:r>
      <w:hyperlink r:id="rId9" w:anchor="/it/" w:history="1">
        <w:r w:rsidR="00132B98" w:rsidRPr="00E07512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</w:t>
        </w:r>
      </w:hyperlink>
      <w:r w:rsidR="00132B98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03E01" w:rsidRPr="00E07512">
        <w:rPr>
          <w:rFonts w:cs="Calibri"/>
          <w:color w:val="000000"/>
          <w:sz w:val="24"/>
          <w:szCs w:val="24"/>
          <w:lang w:eastAsia="it-IT"/>
        </w:rPr>
        <w:t xml:space="preserve">è possibile consultare il Riassunto delle caratteristiche del prodotto e il foglio illustrativo di </w:t>
      </w:r>
      <w:r w:rsidR="00B02668">
        <w:rPr>
          <w:rFonts w:cs="Calibri"/>
          <w:color w:val="000000"/>
          <w:sz w:val="24"/>
          <w:szCs w:val="24"/>
          <w:lang w:eastAsia="it-IT"/>
        </w:rPr>
        <w:t>Sirdalud</w:t>
      </w:r>
      <w:r w:rsidR="00B03E01" w:rsidRPr="00E07512">
        <w:rPr>
          <w:rFonts w:cs="Calibri"/>
          <w:color w:val="000000"/>
          <w:sz w:val="24"/>
          <w:szCs w:val="24"/>
          <w:lang w:eastAsia="it-IT"/>
        </w:rPr>
        <w:t>.</w:t>
      </w:r>
    </w:p>
    <w:p w14:paraId="4EBE348C" w14:textId="77777777" w:rsidR="00445DB2" w:rsidRPr="00E07512" w:rsidRDefault="00445DB2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30EF9204" w14:textId="4B0AA3FD" w:rsidR="00DD414B" w:rsidRPr="00DD414B" w:rsidRDefault="00A42470" w:rsidP="00DD414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300BEA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07512">
        <w:rPr>
          <w:rFonts w:cs="Calibri"/>
          <w:sz w:val="24"/>
          <w:szCs w:val="24"/>
          <w:lang w:eastAsia="it-IT"/>
        </w:rPr>
        <w:t>si usa</w:t>
      </w:r>
      <w:r w:rsidR="00B03E01" w:rsidRPr="00E07512">
        <w:rPr>
          <w:rFonts w:cs="Calibri"/>
          <w:sz w:val="24"/>
          <w:szCs w:val="24"/>
          <w:lang w:eastAsia="it-IT"/>
        </w:rPr>
        <w:t xml:space="preserve"> </w:t>
      </w:r>
      <w:r w:rsidR="00DD414B" w:rsidRPr="00DD414B">
        <w:rPr>
          <w:rFonts w:cs="Calibri"/>
          <w:sz w:val="24"/>
          <w:szCs w:val="24"/>
          <w:lang w:eastAsia="it-IT"/>
        </w:rPr>
        <w:t>per i crampi muscolari causati da alcune condizioni della colonna vertebrale o come risultato di un intervento chirurgico sul sistema muscolo-scheletrico (per esempio le vertebre o l’articolazione dell’anca).</w:t>
      </w:r>
      <w:r w:rsidR="0073254D">
        <w:rPr>
          <w:rFonts w:cs="Calibri"/>
          <w:sz w:val="24"/>
          <w:szCs w:val="24"/>
          <w:lang w:eastAsia="it-IT"/>
        </w:rPr>
        <w:t xml:space="preserve"> </w:t>
      </w:r>
      <w:r w:rsidR="00DD414B">
        <w:rPr>
          <w:rFonts w:cs="Calibri"/>
          <w:sz w:val="24"/>
          <w:szCs w:val="24"/>
          <w:lang w:eastAsia="it-IT"/>
        </w:rPr>
        <w:t>Si usa anche</w:t>
      </w:r>
      <w:r w:rsidR="00DD414B" w:rsidRPr="00DD414B">
        <w:rPr>
          <w:rFonts w:cs="Calibri"/>
          <w:sz w:val="24"/>
          <w:szCs w:val="24"/>
          <w:lang w:eastAsia="it-IT"/>
        </w:rPr>
        <w:t xml:space="preserve"> per i crampi muscolari come risultato di disturbi del sistema nervoso, come la sclerosi multipla e dopo un ictus. </w:t>
      </w:r>
    </w:p>
    <w:p w14:paraId="28D2C7E0" w14:textId="77777777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it-IT"/>
        </w:rPr>
      </w:pPr>
    </w:p>
    <w:p w14:paraId="394A9459" w14:textId="79718514" w:rsidR="00BB2AF8" w:rsidRPr="00E07512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lastRenderedPageBreak/>
        <w:t xml:space="preserve">2) COME </w:t>
      </w:r>
      <w:r w:rsidR="00E61C88" w:rsidRPr="00E07512">
        <w:rPr>
          <w:rFonts w:cs="Calibri"/>
          <w:b/>
          <w:bCs/>
          <w:color w:val="000000"/>
          <w:sz w:val="24"/>
          <w:szCs w:val="24"/>
          <w:lang w:eastAsia="it-IT"/>
        </w:rPr>
        <w:t>È</w:t>
      </w: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 xml:space="preserve"> PRESCRITTO/USATO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>?</w:t>
      </w:r>
    </w:p>
    <w:p w14:paraId="7D29E81B" w14:textId="724202D7" w:rsidR="00300BEA" w:rsidRPr="00E07512" w:rsidRDefault="0052550E" w:rsidP="001C15DF">
      <w:pPr>
        <w:pStyle w:val="PreformattatoHTML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52550E">
        <w:rPr>
          <w:rFonts w:ascii="Calibri" w:eastAsia="Calibri" w:hAnsi="Calibri" w:cs="Calibri"/>
          <w:color w:val="000000"/>
          <w:sz w:val="24"/>
          <w:szCs w:val="24"/>
        </w:rPr>
        <w:t xml:space="preserve">TIZANIDINA </w:t>
      </w:r>
      <w:r w:rsidR="00B93C72">
        <w:rPr>
          <w:rFonts w:ascii="Calibri" w:eastAsia="Calibri" w:hAnsi="Calibri" w:cs="Calibri"/>
          <w:color w:val="000000"/>
          <w:sz w:val="24"/>
          <w:szCs w:val="24"/>
        </w:rPr>
        <w:t>DOC</w:t>
      </w:r>
      <w:r w:rsidR="00300BEA" w:rsidRPr="00E07512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BB2AF8" w:rsidRPr="00E07512">
        <w:rPr>
          <w:rFonts w:ascii="Calibri" w:eastAsia="Calibri" w:hAnsi="Calibri" w:cs="Calibri"/>
          <w:color w:val="000000"/>
          <w:sz w:val="24"/>
          <w:szCs w:val="24"/>
        </w:rPr>
        <w:t xml:space="preserve">può essere ottenuto </w:t>
      </w:r>
      <w:r w:rsidR="00300BEA" w:rsidRPr="00E07512">
        <w:rPr>
          <w:rFonts w:ascii="Calibri" w:eastAsia="Calibri" w:hAnsi="Calibri" w:cs="Calibri"/>
          <w:color w:val="000000"/>
          <w:sz w:val="24"/>
          <w:szCs w:val="24"/>
        </w:rPr>
        <w:t>solo su prescrizione da parte del medico (ricetta ripetibile</w:t>
      </w:r>
      <w:r w:rsidR="00EE1D53">
        <w:rPr>
          <w:rFonts w:ascii="Calibri" w:eastAsia="Calibri" w:hAnsi="Calibri" w:cs="Calibri"/>
          <w:color w:val="000000"/>
          <w:sz w:val="24"/>
          <w:szCs w:val="24"/>
        </w:rPr>
        <w:t>).</w:t>
      </w:r>
    </w:p>
    <w:p w14:paraId="5D4CC28A" w14:textId="77777777" w:rsidR="001C15DF" w:rsidRPr="00E07512" w:rsidRDefault="001C15DF" w:rsidP="001C15DF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3C62BF21" w14:textId="77777777" w:rsidR="00777E37" w:rsidRPr="00777E37" w:rsidRDefault="00777E37" w:rsidP="00777E37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Per il trattamento degli spasmi dei muscoli scheletrici, l</w:t>
      </w:r>
      <w:r w:rsidR="00BB2AF8" w:rsidRPr="00E07512">
        <w:rPr>
          <w:rFonts w:cs="Calibri"/>
          <w:sz w:val="24"/>
          <w:szCs w:val="24"/>
        </w:rPr>
        <w:t xml:space="preserve">a dose raccomandata </w:t>
      </w:r>
      <w:r w:rsidR="00EF6711" w:rsidRPr="00E07512">
        <w:rPr>
          <w:rFonts w:cs="Calibri"/>
          <w:sz w:val="24"/>
          <w:szCs w:val="24"/>
        </w:rPr>
        <w:t>giornaliera</w:t>
      </w:r>
      <w:r w:rsidR="00BB2AF8" w:rsidRPr="00E07512">
        <w:rPr>
          <w:rFonts w:cs="Calibri"/>
          <w:sz w:val="24"/>
          <w:szCs w:val="24"/>
        </w:rPr>
        <w:t xml:space="preserve"> </w:t>
      </w:r>
      <w:r w:rsidR="001C15DF" w:rsidRPr="00E07512">
        <w:rPr>
          <w:rFonts w:cs="Calibri"/>
          <w:sz w:val="24"/>
          <w:szCs w:val="24"/>
        </w:rPr>
        <w:t xml:space="preserve">negli adulti </w:t>
      </w:r>
      <w:r w:rsidRPr="00777E37">
        <w:rPr>
          <w:rFonts w:cs="Calibri"/>
          <w:sz w:val="24"/>
          <w:szCs w:val="24"/>
        </w:rPr>
        <w:t>è di 2-4 mg 3 volte al giorno.</w:t>
      </w:r>
    </w:p>
    <w:p w14:paraId="0D82A913" w14:textId="334B38B8" w:rsidR="008A6FEC" w:rsidRDefault="00777E37" w:rsidP="00777E37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777E37">
        <w:rPr>
          <w:rFonts w:cs="Calibri"/>
          <w:sz w:val="24"/>
          <w:szCs w:val="24"/>
        </w:rPr>
        <w:t>Nei casi più gravi può essere somministrata una dose extra di 2-4 mg, preferibilmente in tarda serata per ridurre l'effetto sedativo.</w:t>
      </w:r>
      <w:r w:rsidR="00BB2AF8" w:rsidRPr="00E07512">
        <w:rPr>
          <w:rFonts w:cs="Calibri"/>
          <w:sz w:val="24"/>
          <w:szCs w:val="24"/>
        </w:rPr>
        <w:t xml:space="preserve"> </w:t>
      </w:r>
    </w:p>
    <w:p w14:paraId="00DA1E41" w14:textId="77777777" w:rsidR="00777E37" w:rsidRDefault="00777E37" w:rsidP="00777E37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603DEEBB" w14:textId="547CF514" w:rsidR="00777E37" w:rsidRPr="00543765" w:rsidRDefault="00777E37" w:rsidP="00543765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Per il trattamento della s</w:t>
      </w:r>
      <w:r w:rsidRPr="00777E37">
        <w:rPr>
          <w:rFonts w:cs="Calibri"/>
          <w:sz w:val="24"/>
          <w:szCs w:val="24"/>
        </w:rPr>
        <w:t>pasticità dovuta a disturbi neurologici</w:t>
      </w:r>
      <w:r w:rsidR="00543765">
        <w:rPr>
          <w:rFonts w:cs="Calibri"/>
          <w:sz w:val="24"/>
          <w:szCs w:val="24"/>
        </w:rPr>
        <w:t xml:space="preserve"> l</w:t>
      </w:r>
      <w:r w:rsidRPr="00543765">
        <w:rPr>
          <w:rFonts w:cs="Calibri"/>
          <w:sz w:val="24"/>
          <w:szCs w:val="24"/>
        </w:rPr>
        <w:t xml:space="preserve">a dose giornaliera iniziale non deve superare i 6 mg suddivisi in 3 </w:t>
      </w:r>
      <w:r w:rsidR="0052550E">
        <w:rPr>
          <w:rFonts w:cs="Calibri"/>
          <w:sz w:val="24"/>
          <w:szCs w:val="24"/>
        </w:rPr>
        <w:t>somministrazioni</w:t>
      </w:r>
      <w:r w:rsidRPr="00543765">
        <w:rPr>
          <w:rFonts w:cs="Calibri"/>
          <w:sz w:val="24"/>
          <w:szCs w:val="24"/>
        </w:rPr>
        <w:t xml:space="preserve">. Questa dose può essere aumentata gradualmente di 2-4 mg </w:t>
      </w:r>
      <w:r w:rsidR="005F3735" w:rsidRPr="005F3735">
        <w:rPr>
          <w:rFonts w:cs="Calibri"/>
          <w:sz w:val="24"/>
          <w:szCs w:val="24"/>
        </w:rPr>
        <w:t>ogni 3 -6 giorni</w:t>
      </w:r>
      <w:r w:rsidR="005F3735" w:rsidRPr="005F3735" w:rsidDel="005F3735">
        <w:rPr>
          <w:rFonts w:cs="Calibri"/>
          <w:sz w:val="24"/>
          <w:szCs w:val="24"/>
        </w:rPr>
        <w:t xml:space="preserve"> </w:t>
      </w:r>
      <w:r w:rsidRPr="00543765">
        <w:rPr>
          <w:rFonts w:cs="Calibri"/>
          <w:sz w:val="24"/>
          <w:szCs w:val="24"/>
        </w:rPr>
        <w:t>.</w:t>
      </w:r>
    </w:p>
    <w:p w14:paraId="69A38E5C" w14:textId="77777777" w:rsidR="00777E37" w:rsidRDefault="00777E37" w:rsidP="00543765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543765">
        <w:rPr>
          <w:rFonts w:cs="Calibri"/>
          <w:sz w:val="24"/>
          <w:szCs w:val="24"/>
        </w:rPr>
        <w:t>La dose giornaliera totale non deve superare i 36 mg.</w:t>
      </w:r>
    </w:p>
    <w:p w14:paraId="1C71D0BF" w14:textId="77777777" w:rsidR="00543765" w:rsidRDefault="00543765" w:rsidP="00543765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295CD209" w14:textId="6DB97F8C" w:rsidR="00543765" w:rsidRPr="00543765" w:rsidRDefault="00193AA3" w:rsidP="00543765">
      <w:pPr>
        <w:tabs>
          <w:tab w:val="left" w:pos="0"/>
        </w:tabs>
        <w:spacing w:after="0" w:line="240" w:lineRule="auto"/>
        <w:jc w:val="both"/>
        <w:rPr>
          <w:rFonts w:cs="Calibri"/>
          <w:sz w:val="24"/>
          <w:szCs w:val="24"/>
        </w:rPr>
      </w:pPr>
      <w:r w:rsidRPr="00193AA3">
        <w:rPr>
          <w:rFonts w:cs="Calibri"/>
          <w:sz w:val="24"/>
          <w:szCs w:val="24"/>
        </w:rPr>
        <w:t>L’uso di tizanidina non è raccomandato nei bambini e adolescenti</w:t>
      </w:r>
      <w:r>
        <w:rPr>
          <w:rFonts w:cs="Calibri"/>
          <w:sz w:val="24"/>
          <w:szCs w:val="24"/>
        </w:rPr>
        <w:t xml:space="preserve"> al di sotto dei 18 anni di età.</w:t>
      </w:r>
    </w:p>
    <w:p w14:paraId="0565CA86" w14:textId="77777777" w:rsidR="00777E37" w:rsidRPr="00E07512" w:rsidRDefault="00777E37" w:rsidP="00777E37">
      <w:pPr>
        <w:tabs>
          <w:tab w:val="left" w:pos="0"/>
        </w:tabs>
        <w:spacing w:after="0" w:line="240" w:lineRule="auto"/>
        <w:jc w:val="both"/>
        <w:rPr>
          <w:rFonts w:cs="Calibri"/>
          <w:b/>
          <w:i/>
          <w:sz w:val="24"/>
          <w:szCs w:val="24"/>
          <w:highlight w:val="green"/>
        </w:rPr>
      </w:pPr>
    </w:p>
    <w:p w14:paraId="751893E9" w14:textId="18B8D436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 xml:space="preserve">3) COME FUNZIONA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 xml:space="preserve">? </w:t>
      </w:r>
    </w:p>
    <w:p w14:paraId="61FDCCE5" w14:textId="58D2F30E" w:rsidR="003702D0" w:rsidRDefault="00CD71B1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BB2AF8" w:rsidRPr="00E07512">
        <w:rPr>
          <w:rFonts w:cs="Calibri"/>
          <w:bCs/>
          <w:color w:val="000000"/>
          <w:sz w:val="24"/>
          <w:szCs w:val="24"/>
          <w:lang w:eastAsia="it-IT"/>
        </w:rPr>
        <w:t xml:space="preserve">, il cui codice ATC è </w:t>
      </w:r>
      <w:r w:rsidR="00A50265" w:rsidRPr="00A50265">
        <w:rPr>
          <w:rFonts w:cs="Calibri"/>
          <w:sz w:val="24"/>
          <w:szCs w:val="24"/>
        </w:rPr>
        <w:t>M03BX02</w:t>
      </w:r>
      <w:r w:rsidR="00BB2AF8" w:rsidRPr="00E07512">
        <w:rPr>
          <w:rFonts w:eastAsia="DejaVuSans" w:cs="Calibri"/>
          <w:sz w:val="24"/>
          <w:szCs w:val="24"/>
        </w:rPr>
        <w:t xml:space="preserve"> </w:t>
      </w:r>
      <w:r w:rsidR="00BB2AF8" w:rsidRPr="00E07512">
        <w:rPr>
          <w:rFonts w:cs="Calibri"/>
          <w:color w:val="000000"/>
          <w:sz w:val="24"/>
          <w:szCs w:val="24"/>
          <w:lang w:eastAsia="it-IT"/>
        </w:rPr>
        <w:t xml:space="preserve">contiene il principio attivo </w:t>
      </w:r>
      <w:r w:rsidR="00A50265">
        <w:rPr>
          <w:rFonts w:cs="Calibri"/>
          <w:color w:val="000000"/>
          <w:sz w:val="24"/>
          <w:szCs w:val="24"/>
          <w:lang w:eastAsia="it-IT"/>
        </w:rPr>
        <w:t>tizanidi</w:t>
      </w:r>
      <w:r w:rsidR="003A671A">
        <w:rPr>
          <w:rFonts w:cs="Calibri"/>
          <w:color w:val="000000"/>
          <w:sz w:val="24"/>
          <w:szCs w:val="24"/>
          <w:lang w:eastAsia="it-IT"/>
        </w:rPr>
        <w:t>na</w:t>
      </w:r>
      <w:r w:rsidR="00A925C1">
        <w:rPr>
          <w:rFonts w:cs="Calibri"/>
          <w:color w:val="000000"/>
          <w:sz w:val="24"/>
          <w:szCs w:val="24"/>
          <w:lang w:eastAsia="it-IT"/>
        </w:rPr>
        <w:t xml:space="preserve"> cloridrato</w:t>
      </w:r>
      <w:r w:rsidR="00F96473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E07512">
        <w:rPr>
          <w:rFonts w:eastAsia="DejaVuSans" w:cs="Calibri"/>
          <w:sz w:val="24"/>
          <w:szCs w:val="24"/>
        </w:rPr>
        <w:t xml:space="preserve">che </w:t>
      </w:r>
      <w:r w:rsidR="00BB2AF8" w:rsidRPr="00E07512">
        <w:rPr>
          <w:rFonts w:cs="Calibri"/>
          <w:sz w:val="24"/>
          <w:szCs w:val="24"/>
        </w:rPr>
        <w:t xml:space="preserve">appartiene alla classe dei </w:t>
      </w:r>
      <w:r w:rsidR="002E7CEC" w:rsidRPr="002E7CEC">
        <w:rPr>
          <w:rFonts w:cs="Calibri"/>
          <w:sz w:val="24"/>
          <w:szCs w:val="24"/>
        </w:rPr>
        <w:t xml:space="preserve">rilassanti del muscolo scheletrico </w:t>
      </w:r>
      <w:r w:rsidR="00BB2AF8" w:rsidRPr="00E07512">
        <w:rPr>
          <w:rFonts w:cs="Calibri"/>
          <w:sz w:val="24"/>
          <w:szCs w:val="24"/>
        </w:rPr>
        <w:t xml:space="preserve">e agisce </w:t>
      </w:r>
      <w:r w:rsidR="00B17D14" w:rsidRPr="00B17D14">
        <w:rPr>
          <w:rFonts w:cs="Calibri"/>
          <w:sz w:val="24"/>
          <w:szCs w:val="24"/>
        </w:rPr>
        <w:t>riduce</w:t>
      </w:r>
      <w:r w:rsidR="00B17D14">
        <w:rPr>
          <w:rFonts w:cs="Calibri"/>
          <w:sz w:val="24"/>
          <w:szCs w:val="24"/>
        </w:rPr>
        <w:t>ndo</w:t>
      </w:r>
      <w:r w:rsidR="00B17D14" w:rsidRPr="00B17D14">
        <w:rPr>
          <w:rFonts w:cs="Calibri"/>
          <w:sz w:val="24"/>
          <w:szCs w:val="24"/>
        </w:rPr>
        <w:t xml:space="preserve"> il tono muscolare patologicamente aumentato, inclusa la resistenza ai movimenti passivi ed a</w:t>
      </w:r>
      <w:r w:rsidR="003702D0">
        <w:rPr>
          <w:rFonts w:cs="Calibri"/>
          <w:sz w:val="24"/>
          <w:szCs w:val="24"/>
        </w:rPr>
        <w:t xml:space="preserve">llevia gli spasmi dolorosi e il </w:t>
      </w:r>
      <w:r w:rsidR="00B17D14" w:rsidRPr="00B17D14">
        <w:rPr>
          <w:rFonts w:cs="Calibri"/>
          <w:sz w:val="24"/>
          <w:szCs w:val="24"/>
        </w:rPr>
        <w:t>clono.</w:t>
      </w:r>
    </w:p>
    <w:p w14:paraId="58213AA7" w14:textId="0AFBC3C4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4"/>
          <w:szCs w:val="24"/>
        </w:rPr>
      </w:pPr>
    </w:p>
    <w:p w14:paraId="74CDD8CE" w14:textId="5A35A383" w:rsidR="001A516D" w:rsidRPr="00E61C88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it-IT"/>
        </w:rPr>
      </w:pPr>
      <w:r w:rsidRPr="00E07512">
        <w:rPr>
          <w:rFonts w:cs="Calibri"/>
          <w:b/>
          <w:bCs/>
          <w:sz w:val="24"/>
          <w:szCs w:val="24"/>
          <w:lang w:eastAsia="it-IT"/>
        </w:rPr>
        <w:t xml:space="preserve">4) COME È STATO STUDIATO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/>
          <w:bCs/>
          <w:sz w:val="24"/>
          <w:szCs w:val="24"/>
          <w:lang w:eastAsia="it-IT"/>
        </w:rPr>
        <w:t xml:space="preserve">? </w:t>
      </w:r>
    </w:p>
    <w:p w14:paraId="51ECFADD" w14:textId="1F35E9A7" w:rsidR="00F96473" w:rsidRPr="00E07512" w:rsidRDefault="00CD71B1" w:rsidP="00F96473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F96473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F96473" w:rsidRPr="00E07512">
        <w:rPr>
          <w:rFonts w:cs="Calibri"/>
          <w:sz w:val="24"/>
          <w:szCs w:val="24"/>
        </w:rPr>
        <w:t>è un medicinale generico</w:t>
      </w:r>
      <w:r w:rsidR="003C054E" w:rsidRPr="00E07512">
        <w:rPr>
          <w:rFonts w:cs="Calibri"/>
          <w:sz w:val="24"/>
          <w:szCs w:val="24"/>
        </w:rPr>
        <w:t xml:space="preserve">. </w:t>
      </w:r>
      <w:r w:rsidR="00C56FA9" w:rsidRPr="00E07512">
        <w:rPr>
          <w:rFonts w:cs="Calibri"/>
          <w:sz w:val="24"/>
          <w:szCs w:val="24"/>
        </w:rPr>
        <w:t xml:space="preserve">Poiché il profilo di sicurezza e l’efficacia del principio attivo di </w:t>
      </w: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52580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C56FA9" w:rsidRPr="00E07512">
        <w:rPr>
          <w:rFonts w:cs="Calibri"/>
          <w:sz w:val="24"/>
          <w:szCs w:val="24"/>
        </w:rPr>
        <w:t xml:space="preserve">è ben conosciuto in quanto il medicinale di riferimento è autorizzato </w:t>
      </w:r>
      <w:r w:rsidR="00FB4181" w:rsidRPr="00E07512">
        <w:rPr>
          <w:rFonts w:cs="Calibri"/>
          <w:sz w:val="24"/>
          <w:szCs w:val="24"/>
        </w:rPr>
        <w:t xml:space="preserve">o è stato autorizzato </w:t>
      </w:r>
      <w:r w:rsidR="00C56FA9" w:rsidRPr="00E07512">
        <w:rPr>
          <w:rFonts w:cs="Calibri"/>
          <w:sz w:val="24"/>
          <w:szCs w:val="24"/>
        </w:rPr>
        <w:t xml:space="preserve">da </w:t>
      </w:r>
      <w:r w:rsidR="00FB4181" w:rsidRPr="00E07512">
        <w:rPr>
          <w:rFonts w:cs="Calibri"/>
          <w:sz w:val="24"/>
          <w:szCs w:val="24"/>
        </w:rPr>
        <w:t xml:space="preserve">almeno 8 </w:t>
      </w:r>
      <w:r w:rsidR="00C56FA9" w:rsidRPr="00E07512">
        <w:rPr>
          <w:rFonts w:cs="Calibri"/>
          <w:sz w:val="24"/>
          <w:szCs w:val="24"/>
        </w:rPr>
        <w:t>anni</w:t>
      </w:r>
      <w:r w:rsidR="00F67DFC" w:rsidRPr="00E07512">
        <w:rPr>
          <w:rFonts w:cs="Calibri"/>
          <w:sz w:val="24"/>
          <w:szCs w:val="24"/>
        </w:rPr>
        <w:t xml:space="preserve"> nell’Unione europea</w:t>
      </w:r>
      <w:r w:rsidR="00525803">
        <w:rPr>
          <w:rFonts w:cs="Calibri"/>
          <w:sz w:val="24"/>
          <w:szCs w:val="24"/>
        </w:rPr>
        <w:t xml:space="preserve">, </w:t>
      </w:r>
      <w:r w:rsidR="00577DAC" w:rsidRPr="00E07512">
        <w:rPr>
          <w:rFonts w:cs="Calibri"/>
          <w:sz w:val="24"/>
          <w:szCs w:val="24"/>
        </w:rPr>
        <w:t xml:space="preserve">a supporto dell’efficacia e della sicurezza di </w:t>
      </w:r>
      <w:r w:rsidR="0017490C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525803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28E5" w:rsidRPr="00E07512">
        <w:rPr>
          <w:rFonts w:cs="Calibri"/>
          <w:sz w:val="24"/>
          <w:szCs w:val="24"/>
        </w:rPr>
        <w:t>sono state effettuate prove cliniche</w:t>
      </w:r>
      <w:r w:rsidR="00F96473" w:rsidRPr="00E07512">
        <w:rPr>
          <w:rFonts w:cs="Calibri"/>
          <w:sz w:val="24"/>
          <w:szCs w:val="24"/>
        </w:rPr>
        <w:t xml:space="preserve"> </w:t>
      </w:r>
      <w:r w:rsidR="003C054E" w:rsidRPr="00E07512">
        <w:rPr>
          <w:rFonts w:cs="Calibri"/>
          <w:sz w:val="24"/>
          <w:szCs w:val="24"/>
        </w:rPr>
        <w:t xml:space="preserve">di confronto con il medicinale di riferimento </w:t>
      </w:r>
      <w:r w:rsidR="00F96473" w:rsidRPr="00E07512">
        <w:rPr>
          <w:rFonts w:cs="Calibri"/>
          <w:sz w:val="24"/>
          <w:szCs w:val="24"/>
        </w:rPr>
        <w:t>per determinare</w:t>
      </w:r>
      <w:r w:rsidR="00F96473" w:rsidRPr="00E07512">
        <w:rPr>
          <w:rFonts w:cs="Calibri"/>
          <w:b/>
          <w:sz w:val="24"/>
          <w:szCs w:val="24"/>
        </w:rPr>
        <w:t xml:space="preserve"> </w:t>
      </w:r>
      <w:r w:rsidR="00F96473" w:rsidRPr="00E07512">
        <w:rPr>
          <w:rFonts w:cs="Calibri"/>
          <w:sz w:val="24"/>
          <w:szCs w:val="24"/>
        </w:rPr>
        <w:t xml:space="preserve">la bioequivalenza rispetto al medicinale di riferimento </w:t>
      </w:r>
      <w:r w:rsidR="00525803" w:rsidRPr="00525803">
        <w:rPr>
          <w:rFonts w:cs="Calibri"/>
          <w:sz w:val="24"/>
          <w:szCs w:val="24"/>
        </w:rPr>
        <w:t>Sirdalud®</w:t>
      </w:r>
      <w:r w:rsidR="00525803">
        <w:rPr>
          <w:rFonts w:cs="Calibri"/>
          <w:sz w:val="24"/>
          <w:szCs w:val="24"/>
        </w:rPr>
        <w:t xml:space="preserve">. </w:t>
      </w:r>
      <w:r w:rsidR="00F96473" w:rsidRPr="00E07512">
        <w:rPr>
          <w:rFonts w:cs="Calibri"/>
          <w:sz w:val="24"/>
          <w:szCs w:val="24"/>
        </w:rPr>
        <w:t xml:space="preserve">Due medicinali sono bioequivalenti quando producono gli stessi livelli di principio attivo nell’organismo. </w:t>
      </w:r>
    </w:p>
    <w:p w14:paraId="4BA4A337" w14:textId="07162B52" w:rsidR="00B17D14" w:rsidRPr="00E07512" w:rsidRDefault="00B17D14" w:rsidP="00F96473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9B92C7F" w14:textId="627AF96E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b/>
          <w:bCs/>
          <w:sz w:val="24"/>
          <w:szCs w:val="24"/>
          <w:lang w:eastAsia="it-IT"/>
        </w:rPr>
        <w:t xml:space="preserve">5) QUAL È IL RAPPORTO BENEFICIO/RISCHIO DI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/>
          <w:sz w:val="24"/>
          <w:szCs w:val="24"/>
          <w:lang w:eastAsia="it-IT"/>
        </w:rPr>
        <w:t>?</w:t>
      </w:r>
      <w:r w:rsidRPr="00E07512">
        <w:rPr>
          <w:rFonts w:cs="Calibri"/>
          <w:sz w:val="24"/>
          <w:szCs w:val="24"/>
          <w:lang w:eastAsia="it-IT"/>
        </w:rPr>
        <w:t xml:space="preserve"> </w:t>
      </w:r>
    </w:p>
    <w:p w14:paraId="1D1AF0D9" w14:textId="725161B0" w:rsidR="00BB2AF8" w:rsidRPr="00E07512" w:rsidRDefault="0017490C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7170D7" w:rsidRPr="00E07512">
        <w:rPr>
          <w:rFonts w:cs="Calibri"/>
          <w:sz w:val="24"/>
          <w:szCs w:val="24"/>
        </w:rPr>
        <w:t xml:space="preserve"> </w:t>
      </w:r>
      <w:r w:rsidR="00BB2AF8" w:rsidRPr="00E07512">
        <w:rPr>
          <w:rFonts w:cs="Calibri"/>
          <w:sz w:val="24"/>
          <w:szCs w:val="24"/>
          <w:lang w:eastAsia="it-IT"/>
        </w:rPr>
        <w:t xml:space="preserve">è un medicinale generico ed è bioequivalente al medicinale di riferimento; pertanto, i suoi benefici e rischi sono sovrapponibili a quelli del medicinale di riferimento. </w:t>
      </w:r>
    </w:p>
    <w:p w14:paraId="0E3B084E" w14:textId="77777777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09BA5C73" w14:textId="2FE40F92" w:rsidR="00BB2AF8" w:rsidRPr="00E07512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b/>
          <w:bCs/>
          <w:sz w:val="24"/>
          <w:szCs w:val="24"/>
          <w:lang w:eastAsia="it-IT"/>
        </w:rPr>
        <w:t xml:space="preserve">6) PERCHE’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="007170D7" w:rsidRPr="00E07512">
        <w:rPr>
          <w:rFonts w:cs="Calibri"/>
          <w:b/>
          <w:color w:val="000000"/>
          <w:sz w:val="24"/>
          <w:szCs w:val="24"/>
          <w:lang w:eastAsia="it-IT"/>
        </w:rPr>
        <w:t xml:space="preserve"> </w:t>
      </w:r>
      <w:r w:rsidR="00FF50B2" w:rsidRPr="00E07512">
        <w:rPr>
          <w:rFonts w:cs="Calibri"/>
          <w:b/>
          <w:bCs/>
          <w:sz w:val="24"/>
          <w:szCs w:val="24"/>
          <w:lang w:eastAsia="it-IT"/>
        </w:rPr>
        <w:t>È</w:t>
      </w:r>
      <w:r w:rsidR="00FF50B2" w:rsidRPr="00E07512" w:rsidDel="00FF50B2">
        <w:rPr>
          <w:rFonts w:cs="Calibri"/>
          <w:b/>
          <w:bCs/>
          <w:sz w:val="24"/>
          <w:szCs w:val="24"/>
          <w:lang w:eastAsia="it-IT"/>
        </w:rPr>
        <w:t xml:space="preserve"> </w:t>
      </w:r>
      <w:r w:rsidRPr="00E07512">
        <w:rPr>
          <w:rFonts w:cs="Calibri"/>
          <w:b/>
          <w:bCs/>
          <w:sz w:val="24"/>
          <w:szCs w:val="24"/>
          <w:lang w:eastAsia="it-IT"/>
        </w:rPr>
        <w:t xml:space="preserve">STATO APPROVATO? </w:t>
      </w:r>
    </w:p>
    <w:p w14:paraId="4D795F86" w14:textId="371D9BB8" w:rsidR="00BB2AF8" w:rsidRPr="00E07512" w:rsidRDefault="000C1389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  <w:lang w:eastAsia="it-IT"/>
        </w:rPr>
        <w:t>A seguito dell’istruttoria condotta d</w:t>
      </w:r>
      <w:r w:rsidR="00330DFA" w:rsidRPr="00E07512">
        <w:rPr>
          <w:rFonts w:cs="Calibri"/>
          <w:sz w:val="24"/>
          <w:szCs w:val="24"/>
          <w:lang w:eastAsia="it-IT"/>
        </w:rPr>
        <w:t>a</w:t>
      </w:r>
      <w:r w:rsidRPr="00E07512">
        <w:rPr>
          <w:rFonts w:cs="Calibri"/>
          <w:sz w:val="24"/>
          <w:szCs w:val="24"/>
          <w:lang w:eastAsia="it-IT"/>
        </w:rPr>
        <w:t>ll’AIFA</w:t>
      </w:r>
      <w:r w:rsidR="00BB2AF8" w:rsidRPr="00E07512">
        <w:rPr>
          <w:rFonts w:cs="Calibri"/>
          <w:sz w:val="24"/>
          <w:szCs w:val="24"/>
          <w:lang w:eastAsia="it-IT"/>
        </w:rPr>
        <w:t xml:space="preserve">, conformemente ai requisiti della normativa vigente, come nel caso del medicinale di riferimento, i benefici di </w:t>
      </w:r>
      <w:r w:rsidR="0017490C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BB2AF8" w:rsidRPr="00E07512">
        <w:rPr>
          <w:rFonts w:cs="Calibri"/>
          <w:sz w:val="24"/>
          <w:szCs w:val="24"/>
          <w:lang w:eastAsia="it-IT"/>
        </w:rPr>
        <w:t xml:space="preserve"> sono superiori ai rischi individuati. L</w:t>
      </w:r>
      <w:r w:rsidR="00B17D14">
        <w:rPr>
          <w:rFonts w:cs="Calibri"/>
          <w:sz w:val="24"/>
          <w:szCs w:val="24"/>
          <w:lang w:eastAsia="it-IT"/>
        </w:rPr>
        <w:t>’</w:t>
      </w:r>
      <w:r w:rsidR="00F61CF9" w:rsidRPr="00E07512">
        <w:rPr>
          <w:rFonts w:cs="Calibri"/>
          <w:sz w:val="24"/>
          <w:szCs w:val="24"/>
          <w:lang w:eastAsia="it-IT"/>
        </w:rPr>
        <w:t>AIFA</w:t>
      </w:r>
      <w:r w:rsidR="00353838" w:rsidRPr="00E07512">
        <w:rPr>
          <w:rFonts w:cs="Calibri"/>
          <w:sz w:val="24"/>
          <w:szCs w:val="24"/>
          <w:lang w:eastAsia="it-IT"/>
        </w:rPr>
        <w:t xml:space="preserve"> </w:t>
      </w:r>
      <w:r w:rsidR="00BB2AF8" w:rsidRPr="00E07512">
        <w:rPr>
          <w:rFonts w:cs="Calibri"/>
          <w:sz w:val="24"/>
          <w:szCs w:val="24"/>
          <w:lang w:eastAsia="it-IT"/>
        </w:rPr>
        <w:t>ha, inoltre, definito le modalità di prescrizione di cui al punto 2) di questo Riassunto e la classe di rimborsabilità del medicinale</w:t>
      </w:r>
      <w:r w:rsidR="003B6829">
        <w:rPr>
          <w:rFonts w:cs="Calibri"/>
          <w:sz w:val="24"/>
          <w:szCs w:val="24"/>
          <w:lang w:eastAsia="it-IT"/>
        </w:rPr>
        <w:t xml:space="preserve"> C.</w:t>
      </w:r>
    </w:p>
    <w:p w14:paraId="445276EA" w14:textId="77777777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it-IT"/>
        </w:rPr>
      </w:pPr>
    </w:p>
    <w:p w14:paraId="2AA8C3AE" w14:textId="47290BAB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/>
          <w:bCs/>
          <w:color w:val="000000"/>
          <w:sz w:val="24"/>
          <w:szCs w:val="24"/>
          <w:lang w:eastAsia="it-IT"/>
        </w:rPr>
        <w:t>?</w:t>
      </w:r>
    </w:p>
    <w:p w14:paraId="2767A76E" w14:textId="05EBA236" w:rsidR="004241AC" w:rsidRPr="00E07512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  <w:lang w:eastAsia="it-IT"/>
        </w:rPr>
        <w:t xml:space="preserve">Il titolare </w:t>
      </w:r>
      <w:r w:rsidR="004241AC" w:rsidRPr="00E07512">
        <w:rPr>
          <w:rFonts w:cs="Calibr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</w:t>
      </w:r>
      <w:proofErr w:type="gramStart"/>
      <w:r w:rsidR="004241AC" w:rsidRPr="00E07512">
        <w:rPr>
          <w:rFonts w:cs="Calibri"/>
          <w:sz w:val="24"/>
          <w:szCs w:val="24"/>
          <w:lang w:eastAsia="it-IT"/>
        </w:rPr>
        <w:t>ad</w:t>
      </w:r>
      <w:proofErr w:type="gramEnd"/>
      <w:r w:rsidR="004241AC" w:rsidRPr="00E07512">
        <w:rPr>
          <w:rFonts w:cs="Calibri"/>
          <w:sz w:val="24"/>
          <w:szCs w:val="24"/>
          <w:lang w:eastAsia="it-IT"/>
        </w:rPr>
        <w:t xml:space="preserve"> identificare, caratterizzare, prevenire o minimizzare i rischi correlati a </w:t>
      </w:r>
      <w:r w:rsidR="0017490C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4241AC" w:rsidRPr="00E07512">
        <w:rPr>
          <w:rFonts w:cs="Calibri"/>
          <w:sz w:val="24"/>
          <w:szCs w:val="24"/>
          <w:lang w:eastAsia="it-IT"/>
        </w:rPr>
        <w:t>.</w:t>
      </w:r>
    </w:p>
    <w:p w14:paraId="680B395A" w14:textId="77777777" w:rsidR="00663BCD" w:rsidRPr="00E07512" w:rsidRDefault="00663BCD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11A42ADC" w14:textId="60F60400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b/>
          <w:bCs/>
          <w:sz w:val="24"/>
          <w:szCs w:val="24"/>
          <w:lang w:eastAsia="it-IT"/>
        </w:rPr>
        <w:t xml:space="preserve">8) ALTRE INFORMAZIONI RELATIVE A </w:t>
      </w:r>
      <w:r w:rsidR="00525803">
        <w:rPr>
          <w:rFonts w:cs="Calibri"/>
          <w:b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b/>
          <w:color w:val="000000"/>
          <w:sz w:val="24"/>
          <w:szCs w:val="24"/>
          <w:lang w:eastAsia="it-IT"/>
        </w:rPr>
        <w:t>DOC</w:t>
      </w:r>
    </w:p>
    <w:p w14:paraId="620CE262" w14:textId="02877974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  <w:lang w:eastAsia="it-IT"/>
        </w:rPr>
      </w:pPr>
      <w:r w:rsidRPr="00E07512">
        <w:rPr>
          <w:rFonts w:cs="Calibri"/>
          <w:bCs/>
          <w:iCs/>
          <w:sz w:val="24"/>
          <w:szCs w:val="24"/>
          <w:lang w:eastAsia="it-IT"/>
        </w:rPr>
        <w:lastRenderedPageBreak/>
        <w:t xml:space="preserve">Il </w:t>
      </w:r>
      <w:r w:rsidR="00D26A42">
        <w:rPr>
          <w:rFonts w:cs="Calibri"/>
          <w:bCs/>
          <w:iCs/>
          <w:sz w:val="24"/>
          <w:szCs w:val="24"/>
          <w:lang w:eastAsia="it-IT"/>
        </w:rPr>
        <w:t xml:space="preserve">11/03/2026 </w:t>
      </w:r>
      <w:r w:rsidRPr="00E07512">
        <w:rPr>
          <w:rFonts w:cs="Calibri"/>
          <w:bCs/>
          <w:iCs/>
          <w:sz w:val="24"/>
          <w:szCs w:val="24"/>
          <w:lang w:eastAsia="it-IT"/>
        </w:rPr>
        <w:t xml:space="preserve">ha rilasciato l’autorizzazione all’immissione in commercio di </w:t>
      </w:r>
      <w:r w:rsidR="004D1A64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bCs/>
          <w:sz w:val="24"/>
          <w:szCs w:val="24"/>
          <w:lang w:eastAsia="it-IT"/>
        </w:rPr>
        <w:t xml:space="preserve">. </w:t>
      </w:r>
    </w:p>
    <w:p w14:paraId="2355A6BD" w14:textId="77777777" w:rsidR="004E5A39" w:rsidRPr="00E07512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27EA7209" w14:textId="77777777" w:rsidR="004E5A39" w:rsidRPr="00E07512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  <w:lang w:eastAsia="it-IT"/>
        </w:rPr>
        <w:t xml:space="preserve">La Relazione Pubblica di Valutazione completa segue questo Riassunto. </w:t>
      </w:r>
    </w:p>
    <w:p w14:paraId="682580C9" w14:textId="224B1914" w:rsidR="004241AC" w:rsidRPr="00E07512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  <w:lang w:eastAsia="it-IT"/>
        </w:rPr>
        <w:t xml:space="preserve">Per maggiori informazioni riguardo il trattamento con </w:t>
      </w:r>
      <w:r w:rsidR="00F119D8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7170D7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  <w:lang w:eastAsia="it-IT"/>
        </w:rPr>
        <w:t>si può leggere il foglio illustrativo</w:t>
      </w:r>
      <w:r w:rsidR="00EE2AC9">
        <w:rPr>
          <w:rFonts w:cs="Calibri"/>
          <w:sz w:val="24"/>
          <w:szCs w:val="24"/>
          <w:lang w:eastAsia="it-IT"/>
        </w:rPr>
        <w:t xml:space="preserve"> </w:t>
      </w:r>
      <w:r w:rsidR="00FF50B2" w:rsidRPr="00E07512">
        <w:rPr>
          <w:rFonts w:cs="Calibri"/>
          <w:sz w:val="24"/>
          <w:szCs w:val="24"/>
          <w:lang w:eastAsia="it-IT"/>
        </w:rPr>
        <w:t>(https://medicinali.aifa.gov.it</w:t>
      </w:r>
      <w:r w:rsidR="00983038" w:rsidRPr="00E07512">
        <w:rPr>
          <w:rFonts w:cs="Calibri"/>
          <w:sz w:val="24"/>
          <w:szCs w:val="24"/>
          <w:lang w:eastAsia="it-IT"/>
        </w:rPr>
        <w:t>)</w:t>
      </w:r>
      <w:r w:rsidR="00FF50B2" w:rsidRPr="00E07512">
        <w:rPr>
          <w:rFonts w:cs="Calibri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  <w:lang w:eastAsia="it-IT"/>
        </w:rPr>
        <w:t xml:space="preserve">o contattare il medico o </w:t>
      </w:r>
      <w:r w:rsidR="009B03DB" w:rsidRPr="00E07512">
        <w:rPr>
          <w:rFonts w:cs="Calibri"/>
          <w:sz w:val="24"/>
          <w:szCs w:val="24"/>
          <w:lang w:eastAsia="it-IT"/>
        </w:rPr>
        <w:t xml:space="preserve">il </w:t>
      </w:r>
      <w:r w:rsidRPr="00E07512">
        <w:rPr>
          <w:rFonts w:cs="Calibri"/>
          <w:sz w:val="24"/>
          <w:szCs w:val="24"/>
          <w:lang w:eastAsia="it-IT"/>
        </w:rPr>
        <w:t xml:space="preserve">farmacista. </w:t>
      </w:r>
    </w:p>
    <w:p w14:paraId="01CA7DBC" w14:textId="1ED9DA39" w:rsidR="004241AC" w:rsidRPr="00E07512" w:rsidRDefault="004241AC" w:rsidP="004241AC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50463930" w14:textId="59BD6878" w:rsidR="004241AC" w:rsidRPr="00E07512" w:rsidRDefault="004241AC" w:rsidP="004241AC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  <w:lang w:eastAsia="it-IT"/>
        </w:rPr>
        <w:t xml:space="preserve">Questo riassunto è </w:t>
      </w:r>
      <w:r w:rsidRPr="003B5C28">
        <w:rPr>
          <w:rFonts w:cs="Calibri"/>
          <w:sz w:val="24"/>
          <w:szCs w:val="24"/>
          <w:lang w:eastAsia="it-IT"/>
        </w:rPr>
        <w:t xml:space="preserve">stato redatto in </w:t>
      </w:r>
      <w:r w:rsidR="00B1186F" w:rsidRPr="003B5C28">
        <w:rPr>
          <w:rFonts w:cs="Calibri"/>
          <w:sz w:val="24"/>
          <w:szCs w:val="24"/>
          <w:lang w:eastAsia="it-IT"/>
        </w:rPr>
        <w:t xml:space="preserve">data </w:t>
      </w:r>
      <w:r w:rsidR="00D26A42" w:rsidRPr="003B5C28">
        <w:rPr>
          <w:rFonts w:cs="Calibri"/>
          <w:sz w:val="24"/>
          <w:szCs w:val="24"/>
          <w:lang w:eastAsia="it-IT"/>
        </w:rPr>
        <w:t>1</w:t>
      </w:r>
      <w:r w:rsidR="006E66D6" w:rsidRPr="003B5C28">
        <w:rPr>
          <w:rFonts w:cs="Calibri"/>
          <w:sz w:val="24"/>
          <w:szCs w:val="24"/>
          <w:lang w:eastAsia="it-IT"/>
        </w:rPr>
        <w:t>9</w:t>
      </w:r>
      <w:r w:rsidR="00D26A42" w:rsidRPr="003B5C28">
        <w:rPr>
          <w:rFonts w:cs="Calibri"/>
          <w:sz w:val="24"/>
          <w:szCs w:val="24"/>
          <w:lang w:eastAsia="it-IT"/>
        </w:rPr>
        <w:t>/03/2026</w:t>
      </w:r>
      <w:r w:rsidR="00393C3C" w:rsidRPr="003B5C28">
        <w:rPr>
          <w:rFonts w:cs="Calibri"/>
          <w:sz w:val="24"/>
          <w:szCs w:val="24"/>
          <w:lang w:eastAsia="it-IT"/>
        </w:rPr>
        <w:t>.</w:t>
      </w:r>
      <w:r w:rsidRPr="00E07512">
        <w:rPr>
          <w:rFonts w:cs="Calibri"/>
          <w:sz w:val="24"/>
          <w:szCs w:val="24"/>
          <w:lang w:eastAsia="it-IT"/>
        </w:rPr>
        <w:t xml:space="preserve"> </w:t>
      </w:r>
    </w:p>
    <w:p w14:paraId="6D2BF934" w14:textId="6A273379" w:rsidR="00E61C88" w:rsidRDefault="00E61C88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br w:type="page"/>
      </w:r>
    </w:p>
    <w:p w14:paraId="7CEEA3B0" w14:textId="77777777" w:rsidR="00E61C88" w:rsidRPr="00E07512" w:rsidRDefault="00E61C88" w:rsidP="00E61C88">
      <w:pPr>
        <w:spacing w:after="0" w:line="240" w:lineRule="auto"/>
        <w:rPr>
          <w:rFonts w:cs="Calibri"/>
          <w:b/>
          <w:sz w:val="24"/>
          <w:szCs w:val="24"/>
        </w:rPr>
      </w:pPr>
    </w:p>
    <w:p w14:paraId="325DA1A1" w14:textId="77777777" w:rsidR="00441071" w:rsidRPr="00E07512" w:rsidRDefault="00441071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29F7336" w14:textId="77777777" w:rsidR="004E5A39" w:rsidRPr="00E07512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RELAZIONE PUBBLICA DI VALUTAZIONE</w:t>
      </w:r>
    </w:p>
    <w:p w14:paraId="4A13CA70" w14:textId="77777777" w:rsidR="004E5A39" w:rsidRPr="00E07512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44A1322" w14:textId="77777777" w:rsidR="004E5A39" w:rsidRPr="00E07512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8CD077F" w14:textId="77777777" w:rsidR="004E5A39" w:rsidRPr="00E07512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CA56EA0" w14:textId="77777777" w:rsidR="004E5A39" w:rsidRPr="00E07512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191C1A7" w14:textId="77777777" w:rsidR="004E5A39" w:rsidRPr="00E07512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INDICE</w:t>
      </w:r>
    </w:p>
    <w:p w14:paraId="4FBEC8C2" w14:textId="77777777" w:rsidR="004E5A39" w:rsidRPr="00E07512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52890F1" w14:textId="77777777" w:rsidR="004E5A39" w:rsidRPr="00E07512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04D6A61" w14:textId="77777777" w:rsidR="004E5A39" w:rsidRPr="00E07512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4F6FC9C" w14:textId="77777777" w:rsidR="004E5A39" w:rsidRPr="00E07512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INTRODUZIONE</w:t>
      </w:r>
    </w:p>
    <w:p w14:paraId="62459954" w14:textId="77777777" w:rsidR="004E5A39" w:rsidRPr="00E07512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3180F3F" w14:textId="77777777" w:rsidR="004E5A39" w:rsidRPr="00E07512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ASPETTI DI QUALITA’</w:t>
      </w:r>
    </w:p>
    <w:p w14:paraId="6D0DB4A8" w14:textId="77777777" w:rsidR="004E5A39" w:rsidRPr="00E07512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41D889E4" w14:textId="77777777" w:rsidR="004E5A39" w:rsidRPr="00E07512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ASPETTI NON CLINICI</w:t>
      </w:r>
    </w:p>
    <w:p w14:paraId="2B2EC938" w14:textId="77777777" w:rsidR="004E5A39" w:rsidRPr="00E07512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3CEA3792" w14:textId="77777777" w:rsidR="004E5A39" w:rsidRPr="00E07512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ASPETTI CLINICI</w:t>
      </w:r>
    </w:p>
    <w:p w14:paraId="0062A7CC" w14:textId="77777777" w:rsidR="004E5A39" w:rsidRPr="00E07512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63CBE2B9" w14:textId="77777777" w:rsidR="004E5A39" w:rsidRPr="00E07512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CONSULTAZIONE SUL FOGLIO ILLUSTRATIVO</w:t>
      </w:r>
    </w:p>
    <w:p w14:paraId="1FC5B418" w14:textId="77777777" w:rsidR="004E5A39" w:rsidRPr="00E07512" w:rsidRDefault="004E5A39" w:rsidP="004E5A39">
      <w:pPr>
        <w:pStyle w:val="Paragrafoelenco"/>
        <w:spacing w:after="0" w:line="240" w:lineRule="auto"/>
        <w:ind w:left="1080"/>
        <w:jc w:val="both"/>
        <w:rPr>
          <w:rFonts w:cs="Calibri"/>
          <w:b/>
          <w:sz w:val="24"/>
          <w:szCs w:val="24"/>
        </w:rPr>
      </w:pPr>
    </w:p>
    <w:p w14:paraId="7E9AB942" w14:textId="77777777" w:rsidR="004E5A39" w:rsidRPr="00E07512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CONCLUSIONI, VALUTAZIONE DEL RAPPORTO BENEFICIO/RISCHIO E RACCOMANDAZIONI</w:t>
      </w:r>
    </w:p>
    <w:p w14:paraId="10C21031" w14:textId="77777777" w:rsidR="004E5A39" w:rsidRPr="00E07512" w:rsidRDefault="004E5A39" w:rsidP="004E5A39">
      <w:pPr>
        <w:rPr>
          <w:rFonts w:cs="Calibri"/>
          <w:sz w:val="24"/>
          <w:szCs w:val="24"/>
        </w:rPr>
      </w:pPr>
    </w:p>
    <w:p w14:paraId="7FF3DAF9" w14:textId="77777777" w:rsidR="004E5A39" w:rsidRPr="00E07512" w:rsidRDefault="004E5A39" w:rsidP="004E5A39">
      <w:pPr>
        <w:rPr>
          <w:rFonts w:cs="Calibri"/>
          <w:sz w:val="24"/>
          <w:szCs w:val="24"/>
        </w:rPr>
      </w:pPr>
    </w:p>
    <w:p w14:paraId="492484FB" w14:textId="77777777" w:rsidR="004E5A39" w:rsidRPr="00E07512" w:rsidRDefault="004E5A39" w:rsidP="004E5A39">
      <w:pPr>
        <w:rPr>
          <w:rFonts w:cs="Calibri"/>
          <w:sz w:val="24"/>
          <w:szCs w:val="24"/>
        </w:rPr>
      </w:pPr>
    </w:p>
    <w:p w14:paraId="190E7B36" w14:textId="77777777" w:rsidR="00CC52A3" w:rsidRPr="00E07512" w:rsidRDefault="00CC52A3" w:rsidP="004E5A39">
      <w:pPr>
        <w:rPr>
          <w:rFonts w:cs="Calibri"/>
          <w:sz w:val="24"/>
          <w:szCs w:val="24"/>
        </w:rPr>
      </w:pPr>
    </w:p>
    <w:p w14:paraId="5B997AEA" w14:textId="77777777" w:rsidR="0099120C" w:rsidRPr="00E07512" w:rsidRDefault="0099120C" w:rsidP="004E5A39">
      <w:pPr>
        <w:rPr>
          <w:rFonts w:cs="Calibri"/>
          <w:sz w:val="24"/>
          <w:szCs w:val="24"/>
        </w:rPr>
      </w:pPr>
    </w:p>
    <w:p w14:paraId="2A0D5AF8" w14:textId="77777777" w:rsidR="0099120C" w:rsidRPr="00E07512" w:rsidRDefault="0099120C" w:rsidP="004E5A39">
      <w:pPr>
        <w:rPr>
          <w:rFonts w:cs="Calibri"/>
          <w:sz w:val="24"/>
          <w:szCs w:val="24"/>
        </w:rPr>
      </w:pPr>
    </w:p>
    <w:p w14:paraId="5D67AE83" w14:textId="77777777" w:rsidR="008B214E" w:rsidRPr="00E07512" w:rsidRDefault="008B214E" w:rsidP="004E5A39">
      <w:pPr>
        <w:rPr>
          <w:rFonts w:cs="Calibri"/>
          <w:sz w:val="24"/>
          <w:szCs w:val="24"/>
        </w:rPr>
      </w:pPr>
    </w:p>
    <w:p w14:paraId="6D9ED04C" w14:textId="77777777" w:rsidR="0099120C" w:rsidRPr="00E07512" w:rsidRDefault="0099120C" w:rsidP="004E5A39">
      <w:pPr>
        <w:rPr>
          <w:rFonts w:cs="Calibri"/>
          <w:sz w:val="24"/>
          <w:szCs w:val="24"/>
        </w:rPr>
      </w:pPr>
    </w:p>
    <w:p w14:paraId="00A9E55B" w14:textId="77777777" w:rsidR="00747DF3" w:rsidRPr="00E07512" w:rsidRDefault="00747DF3" w:rsidP="004E5A39">
      <w:pPr>
        <w:rPr>
          <w:rFonts w:cs="Calibri"/>
          <w:sz w:val="24"/>
          <w:szCs w:val="24"/>
        </w:rPr>
      </w:pPr>
    </w:p>
    <w:p w14:paraId="10D07D59" w14:textId="77777777" w:rsidR="00747DF3" w:rsidRDefault="00747DF3" w:rsidP="004E5A39">
      <w:pPr>
        <w:rPr>
          <w:rFonts w:cs="Calibri"/>
          <w:sz w:val="24"/>
          <w:szCs w:val="24"/>
        </w:rPr>
      </w:pPr>
    </w:p>
    <w:p w14:paraId="2B1574B7" w14:textId="77777777" w:rsidR="00A250CE" w:rsidRDefault="00A250CE" w:rsidP="004E5A39">
      <w:pPr>
        <w:rPr>
          <w:rFonts w:cs="Calibri"/>
          <w:sz w:val="24"/>
          <w:szCs w:val="24"/>
        </w:rPr>
      </w:pPr>
    </w:p>
    <w:p w14:paraId="28C0274B" w14:textId="77777777" w:rsidR="00A250CE" w:rsidRDefault="00A250CE" w:rsidP="004E5A39">
      <w:pPr>
        <w:rPr>
          <w:rFonts w:cs="Calibri"/>
          <w:sz w:val="24"/>
          <w:szCs w:val="24"/>
        </w:rPr>
      </w:pPr>
    </w:p>
    <w:p w14:paraId="760A4F88" w14:textId="77777777" w:rsidR="00A250CE" w:rsidRDefault="00A250CE" w:rsidP="004E5A39">
      <w:pPr>
        <w:rPr>
          <w:rFonts w:cs="Calibri"/>
          <w:sz w:val="24"/>
          <w:szCs w:val="24"/>
        </w:rPr>
      </w:pPr>
    </w:p>
    <w:p w14:paraId="10536E17" w14:textId="1C583BDD" w:rsidR="00A250CE" w:rsidRPr="00E07512" w:rsidRDefault="00A250CE" w:rsidP="004E5A39">
      <w:pPr>
        <w:rPr>
          <w:rFonts w:cs="Calibri"/>
          <w:sz w:val="24"/>
          <w:szCs w:val="24"/>
        </w:rPr>
      </w:pPr>
    </w:p>
    <w:p w14:paraId="6AEBF290" w14:textId="71CA9F3E" w:rsidR="004E5A3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lastRenderedPageBreak/>
        <w:t>INTRODUZIONE</w:t>
      </w:r>
    </w:p>
    <w:p w14:paraId="054C10A7" w14:textId="77777777" w:rsidR="00E61C88" w:rsidRPr="00E07512" w:rsidRDefault="00E61C88" w:rsidP="00E61C88">
      <w:pPr>
        <w:pStyle w:val="Paragrafoelenco"/>
        <w:spacing w:after="0" w:line="240" w:lineRule="auto"/>
        <w:ind w:left="1800"/>
        <w:rPr>
          <w:rFonts w:cs="Calibri"/>
          <w:b/>
          <w:sz w:val="24"/>
          <w:szCs w:val="24"/>
        </w:rPr>
      </w:pPr>
    </w:p>
    <w:p w14:paraId="78C57213" w14:textId="360DE81D" w:rsidR="004E5A39" w:rsidRPr="00E07512" w:rsidRDefault="004E5A39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Sulla base dei dati di qualità, sicurezza ed efficacia, l’AIFA ha rilasciato a </w:t>
      </w:r>
      <w:r w:rsidR="00A925C1">
        <w:rPr>
          <w:rFonts w:cs="Calibri"/>
          <w:sz w:val="24"/>
          <w:szCs w:val="24"/>
        </w:rPr>
        <w:t xml:space="preserve">DOC Generici </w:t>
      </w:r>
      <w:r w:rsidR="00934E9E">
        <w:rPr>
          <w:rFonts w:cs="Calibri"/>
          <w:sz w:val="24"/>
          <w:szCs w:val="24"/>
        </w:rPr>
        <w:t>S.r.l.</w:t>
      </w:r>
      <w:r w:rsidR="00934E9E" w:rsidRPr="00E07512">
        <w:rPr>
          <w:rFonts w:cs="Calibri"/>
          <w:sz w:val="24"/>
          <w:szCs w:val="24"/>
        </w:rPr>
        <w:t xml:space="preserve"> L’autorizzazione</w:t>
      </w:r>
      <w:r w:rsidRPr="00E07512">
        <w:rPr>
          <w:rFonts w:cs="Calibri"/>
          <w:sz w:val="24"/>
          <w:szCs w:val="24"/>
        </w:rPr>
        <w:t xml:space="preserve"> all’immissione in commercio (AIC) per il medicinale </w:t>
      </w:r>
      <w:r w:rsidR="005C7CF7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7170D7" w:rsidRPr="00E07512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Pr="00E07512">
        <w:rPr>
          <w:rFonts w:cs="Calibri"/>
          <w:bCs/>
          <w:iCs/>
          <w:sz w:val="24"/>
          <w:szCs w:val="24"/>
          <w:lang w:eastAsia="it-IT"/>
        </w:rPr>
        <w:t xml:space="preserve">il </w:t>
      </w:r>
      <w:r w:rsidR="00393C3C">
        <w:rPr>
          <w:rFonts w:cs="Calibri"/>
          <w:bCs/>
          <w:iCs/>
          <w:sz w:val="24"/>
          <w:szCs w:val="24"/>
          <w:lang w:eastAsia="it-IT"/>
        </w:rPr>
        <w:t>11/03/2026.</w:t>
      </w:r>
      <w:r w:rsidRPr="00E07512">
        <w:rPr>
          <w:rFonts w:cs="Calibri"/>
          <w:sz w:val="24"/>
          <w:szCs w:val="24"/>
        </w:rPr>
        <w:t xml:space="preserve">  </w:t>
      </w:r>
    </w:p>
    <w:p w14:paraId="49B6352B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E791C48" w14:textId="4E8E74D4" w:rsidR="00EF6711" w:rsidRDefault="005C7CF7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7170D7" w:rsidRPr="00E07512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="00EF6711" w:rsidRPr="00E07512">
        <w:rPr>
          <w:rFonts w:cs="Calibri"/>
          <w:color w:val="000000"/>
          <w:sz w:val="24"/>
          <w:szCs w:val="24"/>
          <w:lang w:eastAsia="it-IT"/>
        </w:rPr>
        <w:t xml:space="preserve">può essere ottenuto solo </w:t>
      </w:r>
      <w:r w:rsidR="00F069A5" w:rsidRPr="00F069A5">
        <w:rPr>
          <w:rFonts w:cs="Calibri"/>
          <w:color w:val="000000"/>
          <w:sz w:val="24"/>
          <w:szCs w:val="24"/>
          <w:lang w:eastAsia="it-IT"/>
        </w:rPr>
        <w:t>su prescrizione da parte del medico (ricetta ripetibile).</w:t>
      </w:r>
    </w:p>
    <w:p w14:paraId="1B59C1BD" w14:textId="77777777" w:rsidR="00F069A5" w:rsidRPr="00E07512" w:rsidRDefault="00F069A5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473EC74E" w14:textId="1F144AE8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Questa procedura è stata presentata ai sensi dell’art. </w:t>
      </w:r>
      <w:r w:rsidR="00F069A5">
        <w:rPr>
          <w:rFonts w:cs="Calibri"/>
          <w:sz w:val="24"/>
          <w:szCs w:val="24"/>
        </w:rPr>
        <w:t>10</w:t>
      </w:r>
      <w:r w:rsidR="00D64828">
        <w:rPr>
          <w:rFonts w:cs="Calibri"/>
          <w:sz w:val="24"/>
          <w:szCs w:val="24"/>
        </w:rPr>
        <w:t xml:space="preserve"> (1) </w:t>
      </w:r>
      <w:r w:rsidRPr="00E07512">
        <w:rPr>
          <w:rFonts w:cs="Calibri"/>
          <w:sz w:val="24"/>
          <w:szCs w:val="24"/>
        </w:rPr>
        <w:t>della Direttiva 2001/83/EU s.m.i.</w:t>
      </w:r>
      <w:r w:rsidR="00F964BE" w:rsidRPr="00E07512">
        <w:rPr>
          <w:rFonts w:cs="Calibri"/>
          <w:sz w:val="24"/>
          <w:szCs w:val="24"/>
        </w:rPr>
        <w:t xml:space="preserve"> (</w:t>
      </w:r>
      <w:r w:rsidR="00D64828">
        <w:rPr>
          <w:rFonts w:cs="Calibri"/>
          <w:sz w:val="24"/>
          <w:szCs w:val="24"/>
        </w:rPr>
        <w:t>generic application</w:t>
      </w:r>
      <w:r w:rsidR="00F964BE" w:rsidRPr="00E07512">
        <w:rPr>
          <w:rFonts w:cs="Calibri"/>
          <w:sz w:val="24"/>
          <w:szCs w:val="24"/>
        </w:rPr>
        <w:t>)</w:t>
      </w:r>
      <w:r w:rsidR="00E61C88">
        <w:rPr>
          <w:rFonts w:cs="Calibri"/>
          <w:sz w:val="24"/>
          <w:szCs w:val="24"/>
        </w:rPr>
        <w:t>.</w:t>
      </w:r>
    </w:p>
    <w:p w14:paraId="4E70CA4F" w14:textId="77777777" w:rsidR="0098470E" w:rsidRPr="00E07512" w:rsidRDefault="0098470E" w:rsidP="00EF671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580E23C5" w14:textId="4A24D01E" w:rsidR="004E5A39" w:rsidRPr="00E07512" w:rsidRDefault="005C7CF7" w:rsidP="00EF6711">
      <w:pPr>
        <w:widowControl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42214D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07512">
        <w:rPr>
          <w:rFonts w:cs="Calibri"/>
          <w:sz w:val="24"/>
          <w:szCs w:val="24"/>
          <w:lang w:eastAsia="it-IT"/>
        </w:rPr>
        <w:t xml:space="preserve">è un medicinale contenente </w:t>
      </w:r>
      <w:r w:rsidR="00D64828">
        <w:rPr>
          <w:rFonts w:cs="Calibri"/>
          <w:sz w:val="24"/>
          <w:szCs w:val="24"/>
          <w:lang w:eastAsia="it-IT"/>
        </w:rPr>
        <w:t>il</w:t>
      </w:r>
      <w:r w:rsidR="004E5A39" w:rsidRPr="00E07512">
        <w:rPr>
          <w:rFonts w:cs="Calibri"/>
          <w:sz w:val="24"/>
          <w:szCs w:val="24"/>
          <w:lang w:eastAsia="it-IT"/>
        </w:rPr>
        <w:t xml:space="preserve"> principio attivo</w:t>
      </w:r>
      <w:r w:rsidR="0099120C" w:rsidRPr="00E07512">
        <w:rPr>
          <w:rFonts w:cs="Calibri"/>
          <w:sz w:val="24"/>
          <w:szCs w:val="24"/>
          <w:lang w:eastAsia="it-IT"/>
        </w:rPr>
        <w:t xml:space="preserve"> </w:t>
      </w:r>
      <w:r w:rsidR="00D64828" w:rsidRPr="00E07512">
        <w:rPr>
          <w:rFonts w:cs="Calibri"/>
          <w:sz w:val="24"/>
          <w:szCs w:val="24"/>
          <w:lang w:eastAsia="it-IT"/>
        </w:rPr>
        <w:t xml:space="preserve">noto </w:t>
      </w:r>
      <w:r w:rsidR="00D64828">
        <w:rPr>
          <w:rFonts w:cs="Calibri"/>
          <w:sz w:val="24"/>
          <w:szCs w:val="24"/>
          <w:lang w:eastAsia="it-IT"/>
        </w:rPr>
        <w:t>tizanidina</w:t>
      </w:r>
      <w:r w:rsidR="00A925C1">
        <w:rPr>
          <w:rFonts w:cs="Calibri"/>
          <w:sz w:val="24"/>
          <w:szCs w:val="24"/>
          <w:lang w:eastAsia="it-IT"/>
        </w:rPr>
        <w:t xml:space="preserve"> cloridrato</w:t>
      </w:r>
      <w:r w:rsidR="004E5A39" w:rsidRPr="00E07512">
        <w:rPr>
          <w:rFonts w:cs="Calibri"/>
          <w:sz w:val="24"/>
          <w:szCs w:val="24"/>
          <w:lang w:eastAsia="it-IT"/>
        </w:rPr>
        <w:t xml:space="preserve"> present</w:t>
      </w:r>
      <w:r w:rsidR="00C42AAC" w:rsidRPr="00E07512">
        <w:rPr>
          <w:rFonts w:cs="Calibri"/>
          <w:sz w:val="24"/>
          <w:szCs w:val="24"/>
          <w:lang w:eastAsia="it-IT"/>
        </w:rPr>
        <w:t>e</w:t>
      </w:r>
      <w:r w:rsidR="004E5A39" w:rsidRPr="00E07512">
        <w:rPr>
          <w:rFonts w:cs="Calibri"/>
          <w:sz w:val="24"/>
          <w:szCs w:val="24"/>
          <w:lang w:eastAsia="it-IT"/>
        </w:rPr>
        <w:t xml:space="preserve"> nel medicinale di riferimento</w:t>
      </w:r>
      <w:r w:rsidR="00D64828">
        <w:rPr>
          <w:rFonts w:cs="Calibri"/>
          <w:sz w:val="24"/>
          <w:szCs w:val="24"/>
          <w:lang w:eastAsia="it-IT"/>
        </w:rPr>
        <w:t xml:space="preserve"> Sirdalud</w:t>
      </w:r>
      <w:r w:rsidR="0042214D" w:rsidRPr="00E07512">
        <w:rPr>
          <w:rFonts w:cs="Calibri"/>
          <w:sz w:val="24"/>
          <w:szCs w:val="24"/>
          <w:lang w:eastAsia="it-IT"/>
        </w:rPr>
        <w:t xml:space="preserve"> aut</w:t>
      </w:r>
      <w:r w:rsidR="004E5A39" w:rsidRPr="00E07512">
        <w:rPr>
          <w:rFonts w:cs="Calibri"/>
          <w:sz w:val="24"/>
          <w:szCs w:val="24"/>
          <w:lang w:eastAsia="it-IT"/>
        </w:rPr>
        <w:t xml:space="preserve">orizzato in Italia da più di </w:t>
      </w:r>
      <w:r w:rsidR="007D2539" w:rsidRPr="00E07512">
        <w:rPr>
          <w:rFonts w:cs="Calibri"/>
          <w:sz w:val="24"/>
          <w:szCs w:val="24"/>
          <w:lang w:eastAsia="it-IT"/>
        </w:rPr>
        <w:t xml:space="preserve">8 </w:t>
      </w:r>
      <w:r w:rsidR="004E5A39" w:rsidRPr="00E07512">
        <w:rPr>
          <w:rFonts w:cs="Calibri"/>
          <w:sz w:val="24"/>
          <w:szCs w:val="24"/>
          <w:lang w:eastAsia="it-IT"/>
        </w:rPr>
        <w:t>anni</w:t>
      </w:r>
      <w:r w:rsidR="00D64828">
        <w:rPr>
          <w:rFonts w:cs="Calibri"/>
          <w:sz w:val="24"/>
          <w:szCs w:val="24"/>
          <w:lang w:eastAsia="it-IT"/>
        </w:rPr>
        <w:t>.</w:t>
      </w:r>
    </w:p>
    <w:p w14:paraId="317F2C10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  <w:highlight w:val="yellow"/>
        </w:rPr>
      </w:pPr>
    </w:p>
    <w:p w14:paraId="433D76EF" w14:textId="0150E658" w:rsidR="00EF6711" w:rsidRPr="00E07512" w:rsidRDefault="0042385D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4E5A39" w:rsidRPr="00E07512">
        <w:rPr>
          <w:rFonts w:cs="Calibri"/>
          <w:bCs/>
          <w:sz w:val="24"/>
          <w:szCs w:val="24"/>
          <w:lang w:eastAsia="it-IT"/>
        </w:rPr>
        <w:t xml:space="preserve">, </w:t>
      </w:r>
      <w:r w:rsidR="004E5A39" w:rsidRPr="00E07512">
        <w:rPr>
          <w:rFonts w:cs="Calibri"/>
          <w:sz w:val="24"/>
          <w:szCs w:val="24"/>
        </w:rPr>
        <w:t>il cui c</w:t>
      </w:r>
      <w:r w:rsidR="004E5A39" w:rsidRPr="00E07512">
        <w:rPr>
          <w:rFonts w:cs="Calibri"/>
          <w:iCs/>
          <w:sz w:val="24"/>
          <w:szCs w:val="24"/>
        </w:rPr>
        <w:t xml:space="preserve">odice ATC è </w:t>
      </w:r>
      <w:r w:rsidR="00C00869" w:rsidRPr="002D5AE3">
        <w:t>M03BX02</w:t>
      </w:r>
      <w:r w:rsidR="004E5A39" w:rsidRPr="00E07512">
        <w:rPr>
          <w:rFonts w:eastAsia="DejaVuSans" w:cs="Calibri"/>
          <w:sz w:val="24"/>
          <w:szCs w:val="24"/>
        </w:rPr>
        <w:t>,</w:t>
      </w:r>
      <w:r w:rsidR="004E5A39" w:rsidRPr="00E07512">
        <w:rPr>
          <w:rFonts w:cs="Calibri"/>
          <w:bCs/>
          <w:sz w:val="24"/>
          <w:szCs w:val="24"/>
          <w:lang w:eastAsia="it-IT"/>
        </w:rPr>
        <w:t xml:space="preserve"> </w:t>
      </w:r>
      <w:r w:rsidR="004E5A39" w:rsidRPr="00E07512">
        <w:rPr>
          <w:rFonts w:cs="Calibri"/>
          <w:sz w:val="24"/>
          <w:szCs w:val="24"/>
          <w:lang w:eastAsia="it-IT"/>
        </w:rPr>
        <w:t xml:space="preserve">contiene </w:t>
      </w:r>
      <w:r w:rsidR="00C42AAC" w:rsidRPr="00E07512">
        <w:rPr>
          <w:rFonts w:cs="Calibri"/>
          <w:sz w:val="24"/>
          <w:szCs w:val="24"/>
          <w:lang w:eastAsia="it-IT"/>
        </w:rPr>
        <w:t>il</w:t>
      </w:r>
      <w:r w:rsidR="004E5A39" w:rsidRPr="00E07512">
        <w:rPr>
          <w:rFonts w:cs="Calibri"/>
          <w:sz w:val="24"/>
          <w:szCs w:val="24"/>
          <w:lang w:eastAsia="it-IT"/>
        </w:rPr>
        <w:t xml:space="preserve"> principi</w:t>
      </w:r>
      <w:r w:rsidR="00C42AAC" w:rsidRPr="00E07512">
        <w:rPr>
          <w:rFonts w:cs="Calibri"/>
          <w:sz w:val="24"/>
          <w:szCs w:val="24"/>
          <w:lang w:eastAsia="it-IT"/>
        </w:rPr>
        <w:t>o</w:t>
      </w:r>
      <w:r w:rsidR="004E5A39" w:rsidRPr="00E07512">
        <w:rPr>
          <w:rFonts w:cs="Calibri"/>
          <w:sz w:val="24"/>
          <w:szCs w:val="24"/>
          <w:lang w:eastAsia="it-IT"/>
        </w:rPr>
        <w:t xml:space="preserve"> attiv</w:t>
      </w:r>
      <w:r w:rsidR="00C42AAC" w:rsidRPr="00E07512">
        <w:rPr>
          <w:rFonts w:cs="Calibri"/>
          <w:sz w:val="24"/>
          <w:szCs w:val="24"/>
          <w:lang w:eastAsia="it-IT"/>
        </w:rPr>
        <w:t>o</w:t>
      </w:r>
      <w:r w:rsidR="004E5A39" w:rsidRPr="00E07512">
        <w:rPr>
          <w:rFonts w:cs="Calibri"/>
          <w:sz w:val="24"/>
          <w:szCs w:val="24"/>
          <w:lang w:eastAsia="it-IT"/>
        </w:rPr>
        <w:t xml:space="preserve"> </w:t>
      </w:r>
      <w:r w:rsidR="00D64828">
        <w:rPr>
          <w:rFonts w:cs="Calibri"/>
          <w:sz w:val="24"/>
          <w:szCs w:val="24"/>
          <w:lang w:eastAsia="it-IT"/>
        </w:rPr>
        <w:t>tizanidina</w:t>
      </w:r>
      <w:r w:rsidR="00A925C1">
        <w:rPr>
          <w:rFonts w:cs="Calibri"/>
          <w:sz w:val="24"/>
          <w:szCs w:val="24"/>
          <w:lang w:eastAsia="it-IT"/>
        </w:rPr>
        <w:t xml:space="preserve"> cloridrato</w:t>
      </w:r>
      <w:r w:rsidR="00B1186F" w:rsidRPr="00E07512">
        <w:rPr>
          <w:rFonts w:cs="Calibri"/>
          <w:bCs/>
          <w:sz w:val="24"/>
          <w:szCs w:val="24"/>
          <w:lang w:eastAsia="it-IT"/>
        </w:rPr>
        <w:t xml:space="preserve">, </w:t>
      </w:r>
      <w:r w:rsidR="006563DB">
        <w:rPr>
          <w:rFonts w:cs="Calibri"/>
          <w:bCs/>
          <w:sz w:val="24"/>
          <w:szCs w:val="24"/>
          <w:lang w:eastAsia="it-IT"/>
        </w:rPr>
        <w:t xml:space="preserve">agisce come </w:t>
      </w:r>
      <w:r w:rsidR="006563DB" w:rsidRPr="006563DB">
        <w:rPr>
          <w:rFonts w:cs="Calibri"/>
          <w:bCs/>
          <w:sz w:val="24"/>
          <w:szCs w:val="24"/>
          <w:lang w:eastAsia="it-IT"/>
        </w:rPr>
        <w:t>agonista α</w:t>
      </w:r>
      <w:r w:rsidR="006563DB" w:rsidRPr="006563DB">
        <w:rPr>
          <w:rFonts w:cs="Calibri"/>
          <w:bCs/>
          <w:sz w:val="24"/>
          <w:szCs w:val="24"/>
          <w:vertAlign w:val="subscript"/>
          <w:lang w:eastAsia="it-IT"/>
        </w:rPr>
        <w:t>2</w:t>
      </w:r>
      <w:r w:rsidR="006563DB" w:rsidRPr="006563DB">
        <w:rPr>
          <w:rFonts w:cs="Calibri"/>
          <w:bCs/>
          <w:sz w:val="24"/>
          <w:szCs w:val="24"/>
          <w:lang w:eastAsia="it-IT"/>
        </w:rPr>
        <w:t>-adrenergico, anche se il suo legame con i recettori dell’imidazolina può giocare un ruolo</w:t>
      </w:r>
      <w:r>
        <w:rPr>
          <w:rFonts w:cs="Calibri"/>
          <w:bCs/>
          <w:sz w:val="24"/>
          <w:szCs w:val="24"/>
          <w:lang w:eastAsia="it-IT"/>
        </w:rPr>
        <w:t xml:space="preserve"> nel suo meccanismo d’azione</w:t>
      </w:r>
      <w:r w:rsidR="006563DB" w:rsidRPr="006563DB">
        <w:rPr>
          <w:rFonts w:cs="Calibri"/>
          <w:bCs/>
          <w:sz w:val="24"/>
          <w:szCs w:val="24"/>
          <w:lang w:eastAsia="it-IT"/>
        </w:rPr>
        <w:t>. L’effetto predominante di tizanidina sembra verificarsi a livello presinaptico nel midollo spinale, riducendo il rilascio degli aminoacidi eccitatori glutammato e aspartato dal terminale presinaptico degli interneuroni spinali. Ci sono alcune evidenze di un’azione postsinaptica sui recettori eccitatori degli aminoacidi.</w:t>
      </w:r>
    </w:p>
    <w:p w14:paraId="36B6790B" w14:textId="17A17079" w:rsidR="001850F5" w:rsidRDefault="0042385D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42214D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65B61" w:rsidRPr="00E07512">
        <w:rPr>
          <w:rFonts w:cs="Calibri"/>
          <w:sz w:val="24"/>
          <w:szCs w:val="24"/>
        </w:rPr>
        <w:t>è utilizzato per</w:t>
      </w:r>
      <w:r w:rsidR="001850F5">
        <w:rPr>
          <w:rFonts w:cs="Calibri"/>
          <w:sz w:val="24"/>
          <w:szCs w:val="24"/>
        </w:rPr>
        <w:t>:</w:t>
      </w:r>
    </w:p>
    <w:p w14:paraId="007AB6CC" w14:textId="276495C5" w:rsidR="001850F5" w:rsidRPr="001850F5" w:rsidRDefault="001850F5" w:rsidP="001850F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1850F5">
        <w:rPr>
          <w:rFonts w:cs="Calibri"/>
          <w:sz w:val="24"/>
          <w:szCs w:val="24"/>
        </w:rPr>
        <w:t xml:space="preserve">Spasmi </w:t>
      </w:r>
      <w:r w:rsidR="00D256AD">
        <w:rPr>
          <w:rFonts w:cs="Calibri"/>
          <w:sz w:val="24"/>
          <w:szCs w:val="24"/>
        </w:rPr>
        <w:t>muscolari dolorosi:</w:t>
      </w:r>
    </w:p>
    <w:p w14:paraId="7EC3672E" w14:textId="58D2744E" w:rsidR="001850F5" w:rsidRPr="001850F5" w:rsidRDefault="001850F5" w:rsidP="001850F5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1850F5">
        <w:rPr>
          <w:rFonts w:cs="Calibri"/>
          <w:sz w:val="24"/>
          <w:szCs w:val="24"/>
        </w:rPr>
        <w:t>associati a disordini statici e funzionali della colonna vertebrale (</w:t>
      </w:r>
      <w:r w:rsidR="00D256AD" w:rsidRPr="00D256AD">
        <w:rPr>
          <w:rFonts w:cs="Calibri"/>
          <w:sz w:val="24"/>
          <w:szCs w:val="24"/>
        </w:rPr>
        <w:t>sindromi artrosiche cervicali e lombari, torcicollo, lombalgie, ecc.</w:t>
      </w:r>
      <w:r w:rsidRPr="001850F5">
        <w:rPr>
          <w:rFonts w:cs="Calibri"/>
          <w:sz w:val="24"/>
          <w:szCs w:val="24"/>
        </w:rPr>
        <w:t>)</w:t>
      </w:r>
    </w:p>
    <w:p w14:paraId="295A3CF6" w14:textId="1CC4AC57" w:rsidR="001850F5" w:rsidRPr="001850F5" w:rsidRDefault="001850F5" w:rsidP="001850F5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1850F5">
        <w:rPr>
          <w:rFonts w:cs="Calibri"/>
          <w:sz w:val="24"/>
          <w:szCs w:val="24"/>
        </w:rPr>
        <w:t xml:space="preserve">conseguenti ad interventi chirurgici </w:t>
      </w:r>
      <w:r w:rsidR="00D256AD">
        <w:rPr>
          <w:rFonts w:cs="Calibri"/>
          <w:sz w:val="24"/>
          <w:szCs w:val="24"/>
        </w:rPr>
        <w:t>(</w:t>
      </w:r>
      <w:r w:rsidR="00D256AD" w:rsidRPr="00D256AD">
        <w:rPr>
          <w:rFonts w:cs="Calibri"/>
          <w:sz w:val="24"/>
          <w:szCs w:val="24"/>
        </w:rPr>
        <w:t>ernia del disco, artrosi dell’anca, ecc.</w:t>
      </w:r>
      <w:r w:rsidR="00D256AD">
        <w:rPr>
          <w:rFonts w:cs="Calibri"/>
          <w:sz w:val="24"/>
          <w:szCs w:val="24"/>
        </w:rPr>
        <w:t>)</w:t>
      </w:r>
    </w:p>
    <w:p w14:paraId="05E161F1" w14:textId="77777777" w:rsidR="001850F5" w:rsidRPr="001850F5" w:rsidRDefault="001850F5" w:rsidP="001850F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32771359" w14:textId="4014593A" w:rsidR="001850F5" w:rsidRPr="001850F5" w:rsidRDefault="001850F5" w:rsidP="001850F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1850F5">
        <w:rPr>
          <w:rFonts w:cs="Calibri"/>
          <w:sz w:val="24"/>
          <w:szCs w:val="24"/>
        </w:rPr>
        <w:t>Spasticità conseguente a disordini neurologici</w:t>
      </w:r>
      <w:r w:rsidR="00D256AD">
        <w:rPr>
          <w:rFonts w:cs="Calibri"/>
          <w:sz w:val="24"/>
          <w:szCs w:val="24"/>
        </w:rPr>
        <w:t>:</w:t>
      </w:r>
    </w:p>
    <w:p w14:paraId="1802CE53" w14:textId="7EA4584E" w:rsidR="001850F5" w:rsidRPr="001850F5" w:rsidRDefault="00D256AD" w:rsidP="00C8335E">
      <w:pPr>
        <w:pStyle w:val="Paragrafoelenco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i/>
          <w:sz w:val="24"/>
          <w:szCs w:val="24"/>
        </w:rPr>
      </w:pPr>
      <w:r>
        <w:rPr>
          <w:rFonts w:cs="Calibri"/>
          <w:sz w:val="24"/>
          <w:szCs w:val="24"/>
        </w:rPr>
        <w:t xml:space="preserve">es. </w:t>
      </w:r>
      <w:r w:rsidR="001850F5" w:rsidRPr="001850F5">
        <w:rPr>
          <w:rFonts w:cs="Calibri"/>
          <w:sz w:val="24"/>
          <w:szCs w:val="24"/>
        </w:rPr>
        <w:t xml:space="preserve">sclerosi multipla, mielopatia cronica, </w:t>
      </w:r>
      <w:r w:rsidRPr="001850F5">
        <w:rPr>
          <w:rFonts w:cs="Calibri"/>
          <w:sz w:val="24"/>
          <w:szCs w:val="24"/>
        </w:rPr>
        <w:t>malatti</w:t>
      </w:r>
      <w:r>
        <w:rPr>
          <w:rFonts w:cs="Calibri"/>
          <w:sz w:val="24"/>
          <w:szCs w:val="24"/>
        </w:rPr>
        <w:t>e</w:t>
      </w:r>
      <w:r w:rsidRPr="001850F5">
        <w:rPr>
          <w:rFonts w:cs="Calibri"/>
          <w:sz w:val="24"/>
          <w:szCs w:val="24"/>
        </w:rPr>
        <w:t xml:space="preserve"> degenerativ</w:t>
      </w:r>
      <w:r>
        <w:rPr>
          <w:rFonts w:cs="Calibri"/>
          <w:sz w:val="24"/>
          <w:szCs w:val="24"/>
        </w:rPr>
        <w:t>e</w:t>
      </w:r>
      <w:r w:rsidRPr="001850F5">
        <w:rPr>
          <w:rFonts w:cs="Calibri"/>
          <w:sz w:val="24"/>
          <w:szCs w:val="24"/>
        </w:rPr>
        <w:t xml:space="preserve"> </w:t>
      </w:r>
      <w:r w:rsidR="001850F5" w:rsidRPr="001850F5">
        <w:rPr>
          <w:rFonts w:cs="Calibri"/>
          <w:sz w:val="24"/>
          <w:szCs w:val="24"/>
        </w:rPr>
        <w:t>del midollo spinale, incidenti vascolari cerebrali</w:t>
      </w:r>
      <w:r>
        <w:rPr>
          <w:rFonts w:cs="Calibri"/>
          <w:sz w:val="24"/>
          <w:szCs w:val="24"/>
        </w:rPr>
        <w:t>.</w:t>
      </w:r>
    </w:p>
    <w:p w14:paraId="67B252FC" w14:textId="77777777" w:rsidR="00265B61" w:rsidRPr="00E07512" w:rsidRDefault="00265B6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473B0174" w14:textId="09FB1F4B" w:rsidR="0042214D" w:rsidRPr="00E07512" w:rsidRDefault="0042214D" w:rsidP="0042214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La richiesta di AIC è supportata da uno studio di bioequivalenza che ha confrontato i profili farmacocinetici del medicinale test </w:t>
      </w:r>
      <w:r w:rsidR="00B84F16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 xml:space="preserve">e quelli del medicinale di riferimento </w:t>
      </w:r>
      <w:r w:rsidR="00525803" w:rsidRPr="00525803">
        <w:rPr>
          <w:rFonts w:cs="Calibri"/>
          <w:sz w:val="24"/>
          <w:szCs w:val="24"/>
        </w:rPr>
        <w:t xml:space="preserve">Sirdalud </w:t>
      </w:r>
      <w:r w:rsidRPr="00E07512">
        <w:rPr>
          <w:rFonts w:cs="Calibri"/>
          <w:sz w:val="24"/>
          <w:szCs w:val="24"/>
        </w:rPr>
        <w:t>autorizzato in Italia</w:t>
      </w:r>
      <w:r w:rsidR="00B84F16">
        <w:rPr>
          <w:rFonts w:cs="Calibri"/>
          <w:sz w:val="24"/>
          <w:szCs w:val="24"/>
        </w:rPr>
        <w:t>.</w:t>
      </w:r>
    </w:p>
    <w:p w14:paraId="3DB38D37" w14:textId="5FA40A67" w:rsidR="0042214D" w:rsidRPr="00E07512" w:rsidRDefault="0042214D" w:rsidP="0042214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Lo studio di bioequivalenza è stato condotto in conformità alle linee guida di Buona Pratica Clinica (</w:t>
      </w:r>
      <w:r w:rsidRPr="00E07512">
        <w:rPr>
          <w:rFonts w:cs="Calibri"/>
          <w:i/>
          <w:sz w:val="24"/>
          <w:szCs w:val="24"/>
        </w:rPr>
        <w:t>Good Clinical Practice</w:t>
      </w:r>
      <w:r w:rsidR="007A536E">
        <w:rPr>
          <w:rFonts w:cs="Calibri"/>
          <w:sz w:val="24"/>
          <w:szCs w:val="24"/>
        </w:rPr>
        <w:t xml:space="preserve"> - GCP)</w:t>
      </w:r>
      <w:r w:rsidRPr="00E07512">
        <w:rPr>
          <w:rFonts w:cs="Calibri"/>
          <w:sz w:val="24"/>
          <w:szCs w:val="24"/>
        </w:rPr>
        <w:t>.</w:t>
      </w:r>
    </w:p>
    <w:p w14:paraId="56BD1BAF" w14:textId="131FEC10" w:rsidR="00983038" w:rsidRPr="00E07512" w:rsidRDefault="00983038" w:rsidP="00983038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Per il dosaggio da </w:t>
      </w:r>
      <w:r w:rsidR="007A536E">
        <w:rPr>
          <w:rFonts w:cs="Calibri"/>
          <w:sz w:val="24"/>
          <w:szCs w:val="24"/>
        </w:rPr>
        <w:t>2 mg</w:t>
      </w:r>
      <w:r w:rsidRPr="00E07512">
        <w:rPr>
          <w:rFonts w:cs="Calibri"/>
          <w:sz w:val="24"/>
          <w:szCs w:val="24"/>
        </w:rPr>
        <w:t xml:space="preserve"> è stata dimostrata l’equivalenza farmaceutica tramite studi comparativi di equivalenza farmaceutica in accor</w:t>
      </w:r>
      <w:r w:rsidR="007A536E">
        <w:rPr>
          <w:rFonts w:cs="Calibri"/>
          <w:sz w:val="24"/>
          <w:szCs w:val="24"/>
        </w:rPr>
        <w:t>do alle linee guida applicabili.</w:t>
      </w:r>
    </w:p>
    <w:p w14:paraId="3DD86318" w14:textId="77777777" w:rsidR="007A536E" w:rsidRDefault="007A536E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00D5F06" w14:textId="4DD34A5B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Le officine coinvolte nella produzione sono conformi alle linee guida di Buona Pratica di Fabbricazione (</w:t>
      </w:r>
      <w:r w:rsidRPr="00E07512">
        <w:rPr>
          <w:rFonts w:cs="Calibri"/>
          <w:i/>
          <w:sz w:val="24"/>
          <w:szCs w:val="24"/>
        </w:rPr>
        <w:t>Good Manufacturing Practice</w:t>
      </w:r>
      <w:r w:rsidRPr="00E07512">
        <w:rPr>
          <w:rFonts w:cs="Calibri"/>
          <w:sz w:val="24"/>
          <w:szCs w:val="24"/>
        </w:rPr>
        <w:t xml:space="preserve"> - GMP). </w:t>
      </w:r>
    </w:p>
    <w:p w14:paraId="3C03323C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  <w:highlight w:val="yellow"/>
        </w:rPr>
      </w:pPr>
    </w:p>
    <w:p w14:paraId="61AB0575" w14:textId="77777777" w:rsidR="00B862CA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A1D24">
        <w:rPr>
          <w:rFonts w:cs="Calibri"/>
          <w:sz w:val="24"/>
          <w:szCs w:val="24"/>
        </w:rPr>
        <w:t>Il sistema di Farmacovigilanza descritto dal titolare dell’AIC è conforme ai requisiti previsti dalla normativa corrente. E’ stato presentato un Piano di gestione del rischio (</w:t>
      </w:r>
      <w:r w:rsidRPr="009A1D24">
        <w:rPr>
          <w:rFonts w:cs="Calibri"/>
          <w:i/>
          <w:sz w:val="24"/>
          <w:szCs w:val="24"/>
        </w:rPr>
        <w:t>Risk Management Plan</w:t>
      </w:r>
      <w:r w:rsidRPr="009A1D24">
        <w:rPr>
          <w:rFonts w:cs="Calibri"/>
          <w:sz w:val="24"/>
          <w:szCs w:val="24"/>
        </w:rPr>
        <w:t xml:space="preserve"> – RMP) accettabile.</w:t>
      </w:r>
      <w:r w:rsidR="00F964BE" w:rsidRPr="00E07512">
        <w:rPr>
          <w:rFonts w:cs="Calibri"/>
          <w:sz w:val="24"/>
          <w:szCs w:val="24"/>
        </w:rPr>
        <w:t xml:space="preserve"> </w:t>
      </w:r>
    </w:p>
    <w:p w14:paraId="6C2C3B56" w14:textId="77777777" w:rsidR="001850F5" w:rsidRPr="00E07512" w:rsidRDefault="001850F5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8FD354A" w14:textId="01EC39A6" w:rsidR="004E5A39" w:rsidRPr="00BD0211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BD0211">
        <w:rPr>
          <w:rFonts w:cs="Calibri"/>
          <w:sz w:val="24"/>
          <w:szCs w:val="24"/>
        </w:rPr>
        <w:t xml:space="preserve">Il titolare di AIC ha presentato una adeguata giustificazione della non presentazione della Valutazione del Rischio ambientale; questo approccio è accettabile in quanto </w:t>
      </w:r>
      <w:r w:rsidR="004D1A64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 w:rsidRPr="00BD0211">
        <w:rPr>
          <w:rFonts w:cs="Calibri"/>
          <w:color w:val="000000"/>
          <w:sz w:val="24"/>
          <w:szCs w:val="24"/>
          <w:lang w:eastAsia="it-IT"/>
        </w:rPr>
        <w:t>DOC</w:t>
      </w:r>
      <w:r w:rsidR="00A046AC" w:rsidRPr="00BD0211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BD0211">
        <w:rPr>
          <w:rFonts w:cs="Calibri"/>
          <w:sz w:val="24"/>
          <w:szCs w:val="24"/>
        </w:rPr>
        <w:t xml:space="preserve">contiene </w:t>
      </w:r>
      <w:r w:rsidR="00265B61" w:rsidRPr="00BD0211">
        <w:rPr>
          <w:rFonts w:cs="Calibri"/>
          <w:sz w:val="24"/>
          <w:szCs w:val="24"/>
        </w:rPr>
        <w:t xml:space="preserve">un </w:t>
      </w:r>
      <w:r w:rsidRPr="00BD0211">
        <w:rPr>
          <w:rFonts w:cs="Calibri"/>
          <w:sz w:val="24"/>
          <w:szCs w:val="24"/>
        </w:rPr>
        <w:t>principi</w:t>
      </w:r>
      <w:r w:rsidR="00265B61" w:rsidRPr="00BD0211">
        <w:rPr>
          <w:rFonts w:cs="Calibri"/>
          <w:sz w:val="24"/>
          <w:szCs w:val="24"/>
        </w:rPr>
        <w:t>o</w:t>
      </w:r>
      <w:r w:rsidRPr="00BD0211">
        <w:rPr>
          <w:rFonts w:cs="Calibri"/>
          <w:sz w:val="24"/>
          <w:szCs w:val="24"/>
        </w:rPr>
        <w:t xml:space="preserve"> attiv</w:t>
      </w:r>
      <w:r w:rsidR="00265B61" w:rsidRPr="00BD0211">
        <w:rPr>
          <w:rFonts w:cs="Calibri"/>
          <w:sz w:val="24"/>
          <w:szCs w:val="24"/>
        </w:rPr>
        <w:t>o</w:t>
      </w:r>
      <w:r w:rsidRPr="00BD0211">
        <w:rPr>
          <w:rFonts w:cs="Calibri"/>
          <w:sz w:val="24"/>
          <w:szCs w:val="24"/>
        </w:rPr>
        <w:t xml:space="preserve"> not</w:t>
      </w:r>
      <w:r w:rsidR="00265B61" w:rsidRPr="00BD0211">
        <w:rPr>
          <w:rFonts w:cs="Calibri"/>
          <w:sz w:val="24"/>
          <w:szCs w:val="24"/>
        </w:rPr>
        <w:t>o</w:t>
      </w:r>
      <w:r w:rsidRPr="00BD0211">
        <w:rPr>
          <w:rFonts w:cs="Calibri"/>
          <w:sz w:val="24"/>
          <w:szCs w:val="24"/>
        </w:rPr>
        <w:t xml:space="preserve"> present</w:t>
      </w:r>
      <w:r w:rsidR="00265B61" w:rsidRPr="00BD0211">
        <w:rPr>
          <w:rFonts w:cs="Calibri"/>
          <w:sz w:val="24"/>
          <w:szCs w:val="24"/>
        </w:rPr>
        <w:t>e</w:t>
      </w:r>
      <w:r w:rsidRPr="00BD0211">
        <w:rPr>
          <w:rFonts w:cs="Calibri"/>
          <w:sz w:val="24"/>
          <w:szCs w:val="24"/>
        </w:rPr>
        <w:t xml:space="preserve"> in medicinali autorizzati; inoltre, non sono presenti componenti </w:t>
      </w:r>
      <w:r w:rsidRPr="00BD0211">
        <w:rPr>
          <w:rFonts w:cs="Calibri"/>
          <w:sz w:val="24"/>
          <w:szCs w:val="24"/>
        </w:rPr>
        <w:lastRenderedPageBreak/>
        <w:t>geneticamente modificati; il metodo di produzione e la formulazione del medicinale non presentano problematiche di carattere ambientale.</w:t>
      </w:r>
    </w:p>
    <w:p w14:paraId="24F24548" w14:textId="77777777" w:rsidR="009F584E" w:rsidRPr="001850F5" w:rsidRDefault="009F584E" w:rsidP="00EF6711">
      <w:pPr>
        <w:spacing w:after="0" w:line="240" w:lineRule="auto"/>
        <w:jc w:val="both"/>
        <w:rPr>
          <w:rFonts w:cs="Calibri"/>
          <w:sz w:val="24"/>
          <w:szCs w:val="24"/>
          <w:highlight w:val="yellow"/>
        </w:rPr>
      </w:pPr>
    </w:p>
    <w:p w14:paraId="69B1A8C8" w14:textId="77777777" w:rsidR="00747E46" w:rsidRPr="00E07512" w:rsidRDefault="00747E46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FA4E3A3" w14:textId="77777777" w:rsidR="004E5A39" w:rsidRPr="00E07512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ASPETTI DI QUALITA’</w:t>
      </w:r>
    </w:p>
    <w:p w14:paraId="260B7AB8" w14:textId="77777777" w:rsidR="00A929D9" w:rsidRDefault="00A929D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30E35440" w14:textId="684830EA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 xml:space="preserve">II.1 PRINCIPIO ATTIVO </w:t>
      </w:r>
    </w:p>
    <w:p w14:paraId="1C23F0D2" w14:textId="79AC87CD" w:rsidR="004E5A39" w:rsidRPr="00A250CE" w:rsidRDefault="00B51571" w:rsidP="00CC52A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single"/>
        </w:rPr>
      </w:pPr>
      <w:r w:rsidRPr="00E07512">
        <w:rPr>
          <w:rFonts w:cs="Calibri"/>
          <w:sz w:val="24"/>
          <w:szCs w:val="24"/>
          <w:u w:val="single"/>
        </w:rPr>
        <w:t>Denominazione</w:t>
      </w:r>
      <w:r w:rsidR="004E5A39" w:rsidRPr="00E07512">
        <w:rPr>
          <w:rFonts w:cs="Calibri"/>
          <w:sz w:val="24"/>
          <w:szCs w:val="24"/>
          <w:u w:val="single"/>
        </w:rPr>
        <w:t xml:space="preserve"> chimic</w:t>
      </w:r>
      <w:r w:rsidR="00A929D9">
        <w:rPr>
          <w:rFonts w:cs="Calibri"/>
          <w:sz w:val="24"/>
          <w:szCs w:val="24"/>
          <w:u w:val="single"/>
        </w:rPr>
        <w:t>a</w:t>
      </w:r>
      <w:r w:rsidR="00A250CE">
        <w:rPr>
          <w:rFonts w:cs="Calibri"/>
          <w:sz w:val="24"/>
          <w:szCs w:val="24"/>
          <w:u w:val="single"/>
        </w:rPr>
        <w:t>:</w:t>
      </w:r>
      <w:r w:rsidR="000E4494" w:rsidRPr="00E07512">
        <w:rPr>
          <w:rFonts w:cs="Calibri"/>
          <w:i/>
          <w:iCs/>
          <w:sz w:val="24"/>
          <w:szCs w:val="24"/>
        </w:rPr>
        <w:t xml:space="preserve"> </w:t>
      </w:r>
      <w:r w:rsidR="0034442D" w:rsidRPr="0034442D">
        <w:rPr>
          <w:rFonts w:cs="Calibri"/>
          <w:sz w:val="24"/>
          <w:szCs w:val="24"/>
        </w:rPr>
        <w:t>5-Chloro-N-(4,5-dihydro-1H-imidazol-2-yl)-2,1,3-benzothiadiazol-4-amine hydrochloride</w:t>
      </w:r>
    </w:p>
    <w:p w14:paraId="29DA6C67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  <w:u w:val="single"/>
        </w:rPr>
        <w:t>Struttura</w:t>
      </w:r>
      <w:r w:rsidRPr="00E07512">
        <w:rPr>
          <w:rFonts w:cs="Calibri"/>
          <w:sz w:val="24"/>
          <w:szCs w:val="24"/>
        </w:rPr>
        <w:t>:</w:t>
      </w:r>
    </w:p>
    <w:p w14:paraId="5452217E" w14:textId="6B791A46" w:rsidR="004E5A39" w:rsidRPr="00E07512" w:rsidRDefault="004C2680" w:rsidP="00EF6711">
      <w:pPr>
        <w:spacing w:after="0" w:line="240" w:lineRule="auto"/>
        <w:jc w:val="center"/>
        <w:rPr>
          <w:rFonts w:cs="Calibri"/>
          <w:sz w:val="24"/>
          <w:szCs w:val="24"/>
          <w:highlight w:val="yellow"/>
        </w:rPr>
      </w:pPr>
      <w:r>
        <w:rPr>
          <w:noProof/>
          <w:lang w:eastAsia="it-IT"/>
        </w:rPr>
        <w:drawing>
          <wp:inline distT="0" distB="0" distL="0" distR="0" wp14:anchorId="1FF1EBF6" wp14:editId="19B7882E">
            <wp:extent cx="1899948" cy="1153540"/>
            <wp:effectExtent l="0" t="0" r="5080" b="8890"/>
            <wp:docPr id="123909230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092304" name=""/>
                    <pic:cNvPicPr/>
                  </pic:nvPicPr>
                  <pic:blipFill rotWithShape="1">
                    <a:blip r:embed="rId10"/>
                    <a:srcRect l="51666" t="46711" r="27005" b="30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674" cy="1163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07A5D4" w14:textId="77777777" w:rsidR="004C2680" w:rsidRDefault="004C2680" w:rsidP="00EF6711">
      <w:pPr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14:paraId="6DDBB371" w14:textId="1A04B70E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  <w:u w:val="single"/>
        </w:rPr>
        <w:t>Formula molecolare</w:t>
      </w:r>
      <w:r w:rsidRPr="00E07512">
        <w:rPr>
          <w:rFonts w:cs="Calibri"/>
          <w:sz w:val="24"/>
          <w:szCs w:val="24"/>
        </w:rPr>
        <w:t>:</w:t>
      </w:r>
      <w:r w:rsidRPr="00E07512">
        <w:rPr>
          <w:rStyle w:val="s1"/>
          <w:rFonts w:ascii="Calibri" w:hAnsi="Calibri" w:cs="Calibri"/>
          <w:sz w:val="24"/>
          <w:szCs w:val="24"/>
        </w:rPr>
        <w:t xml:space="preserve"> </w:t>
      </w:r>
      <w:r w:rsidR="00104ECC" w:rsidRPr="00104ECC">
        <w:rPr>
          <w:rFonts w:cs="Calibri"/>
          <w:sz w:val="24"/>
          <w:szCs w:val="24"/>
        </w:rPr>
        <w:t>C</w:t>
      </w:r>
      <w:r w:rsidR="00104ECC" w:rsidRPr="00104ECC">
        <w:rPr>
          <w:rFonts w:cs="Calibri"/>
          <w:sz w:val="24"/>
          <w:szCs w:val="24"/>
          <w:vertAlign w:val="subscript"/>
        </w:rPr>
        <w:t>9</w:t>
      </w:r>
      <w:r w:rsidR="00104ECC" w:rsidRPr="00104ECC">
        <w:rPr>
          <w:rFonts w:cs="Calibri"/>
          <w:sz w:val="24"/>
          <w:szCs w:val="24"/>
        </w:rPr>
        <w:t>H</w:t>
      </w:r>
      <w:r w:rsidR="00104ECC" w:rsidRPr="00104ECC">
        <w:rPr>
          <w:rFonts w:cs="Calibri"/>
          <w:sz w:val="24"/>
          <w:szCs w:val="24"/>
          <w:vertAlign w:val="subscript"/>
        </w:rPr>
        <w:t>9</w:t>
      </w:r>
      <w:r w:rsidR="00104ECC" w:rsidRPr="00104ECC">
        <w:rPr>
          <w:rFonts w:cs="Calibri"/>
          <w:sz w:val="24"/>
          <w:szCs w:val="24"/>
        </w:rPr>
        <w:t>Cl</w:t>
      </w:r>
      <w:r w:rsidR="00104ECC" w:rsidRPr="00104ECC">
        <w:rPr>
          <w:rFonts w:cs="Calibri"/>
          <w:sz w:val="24"/>
          <w:szCs w:val="24"/>
          <w:vertAlign w:val="subscript"/>
        </w:rPr>
        <w:t>2</w:t>
      </w:r>
      <w:r w:rsidR="00104ECC" w:rsidRPr="00104ECC">
        <w:rPr>
          <w:rFonts w:cs="Calibri"/>
          <w:sz w:val="24"/>
          <w:szCs w:val="24"/>
        </w:rPr>
        <w:t>N</w:t>
      </w:r>
      <w:r w:rsidR="00104ECC" w:rsidRPr="00104ECC">
        <w:rPr>
          <w:rFonts w:cs="Calibri"/>
          <w:sz w:val="24"/>
          <w:szCs w:val="24"/>
          <w:vertAlign w:val="subscript"/>
        </w:rPr>
        <w:t>5</w:t>
      </w:r>
      <w:r w:rsidR="00104ECC" w:rsidRPr="00104ECC">
        <w:rPr>
          <w:rFonts w:cs="Calibri"/>
          <w:sz w:val="24"/>
          <w:szCs w:val="24"/>
        </w:rPr>
        <w:t>S</w:t>
      </w:r>
    </w:p>
    <w:p w14:paraId="207FD9A2" w14:textId="30F93C51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  <w:u w:val="single"/>
        </w:rPr>
        <w:t>Peso molecolare</w:t>
      </w:r>
      <w:r w:rsidRPr="00E07512">
        <w:rPr>
          <w:rFonts w:cs="Calibri"/>
          <w:sz w:val="24"/>
          <w:szCs w:val="24"/>
        </w:rPr>
        <w:t>:</w:t>
      </w:r>
      <w:r w:rsidRPr="00E07512">
        <w:rPr>
          <w:rFonts w:cs="Calibri"/>
          <w:color w:val="252525"/>
          <w:sz w:val="24"/>
          <w:szCs w:val="24"/>
          <w:shd w:val="clear" w:color="auto" w:fill="F9F9F9"/>
        </w:rPr>
        <w:t xml:space="preserve"> </w:t>
      </w:r>
      <w:r w:rsidR="00B72016">
        <w:rPr>
          <w:rFonts w:cs="Calibri"/>
          <w:sz w:val="24"/>
          <w:szCs w:val="24"/>
        </w:rPr>
        <w:t>290,2</w:t>
      </w:r>
      <w:r w:rsidR="009A23DE" w:rsidRPr="00E07512">
        <w:rPr>
          <w:rFonts w:cs="Calibri"/>
          <w:sz w:val="24"/>
          <w:szCs w:val="24"/>
        </w:rPr>
        <w:t xml:space="preserve"> </w:t>
      </w:r>
      <w:r w:rsidRPr="00E07512">
        <w:rPr>
          <w:rStyle w:val="s1"/>
          <w:rFonts w:ascii="Calibri" w:hAnsi="Calibri" w:cs="Calibri"/>
          <w:sz w:val="24"/>
          <w:szCs w:val="24"/>
        </w:rPr>
        <w:t>g/mol</w:t>
      </w:r>
    </w:p>
    <w:p w14:paraId="63CCDEC3" w14:textId="2D825BE9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  <w:u w:val="single"/>
        </w:rPr>
        <w:t>CAS</w:t>
      </w:r>
      <w:r w:rsidRPr="00E07512">
        <w:rPr>
          <w:rFonts w:cs="Calibri"/>
          <w:sz w:val="24"/>
          <w:szCs w:val="24"/>
        </w:rPr>
        <w:t xml:space="preserve">: </w:t>
      </w:r>
      <w:r w:rsidR="00CC52A3" w:rsidRPr="00E07512">
        <w:rPr>
          <w:rFonts w:cs="Calibri"/>
          <w:sz w:val="24"/>
          <w:szCs w:val="24"/>
        </w:rPr>
        <w:t>[</w:t>
      </w:r>
      <w:r w:rsidR="00102570" w:rsidRPr="00102570">
        <w:rPr>
          <w:rFonts w:cs="Calibri"/>
          <w:sz w:val="24"/>
          <w:szCs w:val="24"/>
        </w:rPr>
        <w:t>64461-82-1</w:t>
      </w:r>
      <w:r w:rsidR="00CC52A3" w:rsidRPr="00E07512">
        <w:rPr>
          <w:rFonts w:cs="Calibri"/>
          <w:sz w:val="24"/>
          <w:szCs w:val="24"/>
        </w:rPr>
        <w:t>]</w:t>
      </w:r>
    </w:p>
    <w:p w14:paraId="2BA12C3D" w14:textId="77777777" w:rsidR="00E207B1" w:rsidRPr="00E07512" w:rsidRDefault="00E207B1" w:rsidP="00E207B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8EDE1DC" w14:textId="00A7DECE" w:rsidR="00265B61" w:rsidRPr="00E07512" w:rsidRDefault="00FE5ADA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Il </w:t>
      </w:r>
      <w:r w:rsidR="00265B61" w:rsidRPr="00E07512">
        <w:rPr>
          <w:rFonts w:cs="Calibri"/>
          <w:sz w:val="24"/>
          <w:szCs w:val="24"/>
        </w:rPr>
        <w:t xml:space="preserve">principio attivo </w:t>
      </w:r>
      <w:r w:rsidR="00CC52A3" w:rsidRPr="00E07512">
        <w:rPr>
          <w:rFonts w:cs="Calibri"/>
          <w:sz w:val="24"/>
          <w:szCs w:val="24"/>
        </w:rPr>
        <w:t>è</w:t>
      </w:r>
      <w:r w:rsidR="00265B61" w:rsidRPr="00E07512">
        <w:rPr>
          <w:rFonts w:cs="Calibri"/>
          <w:sz w:val="24"/>
          <w:szCs w:val="24"/>
        </w:rPr>
        <w:t xml:space="preserve"> presente in Farmacopea Europea; il produttore ha presentato </w:t>
      </w:r>
      <w:r w:rsidR="00435039" w:rsidRPr="00E07512">
        <w:rPr>
          <w:rFonts w:cs="Calibri"/>
          <w:sz w:val="24"/>
          <w:szCs w:val="24"/>
        </w:rPr>
        <w:t>la documentazione sotto forma di Active Substance Master File</w:t>
      </w:r>
      <w:r w:rsidR="00265B61" w:rsidRPr="00E07512">
        <w:rPr>
          <w:rFonts w:cs="Calibri"/>
          <w:sz w:val="24"/>
          <w:szCs w:val="24"/>
        </w:rPr>
        <w:t xml:space="preserve"> </w:t>
      </w:r>
      <w:r w:rsidR="00435039" w:rsidRPr="00E07512">
        <w:rPr>
          <w:rFonts w:cs="Calibri"/>
          <w:sz w:val="24"/>
          <w:szCs w:val="24"/>
        </w:rPr>
        <w:t>(</w:t>
      </w:r>
      <w:r w:rsidR="00265B61" w:rsidRPr="00E07512">
        <w:rPr>
          <w:rFonts w:cs="Calibri"/>
          <w:sz w:val="24"/>
          <w:szCs w:val="24"/>
        </w:rPr>
        <w:t>ASMF</w:t>
      </w:r>
      <w:r w:rsidR="00435039" w:rsidRPr="00E07512">
        <w:rPr>
          <w:rFonts w:cs="Calibri"/>
          <w:sz w:val="24"/>
          <w:szCs w:val="24"/>
        </w:rPr>
        <w:t>).</w:t>
      </w:r>
    </w:p>
    <w:p w14:paraId="68FEA157" w14:textId="77777777" w:rsidR="00265B61" w:rsidRPr="00E07512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La sintesi del principio attivo è stata adeguatamente descritta a partire da idonei materiali di partenza; sono utilizzati appropriati controlli di processo e intermedi di sintesi.</w:t>
      </w:r>
    </w:p>
    <w:p w14:paraId="0B808071" w14:textId="77777777" w:rsidR="00265B61" w:rsidRPr="00E07512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5BCC2FDD" w14:textId="77777777" w:rsidR="00265B61" w:rsidRPr="00E07512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3550FB2" w14:textId="77777777" w:rsidR="00265B61" w:rsidRPr="00E07512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Sono stati forniti adeguati studi di stabilità per il principio attivo</w:t>
      </w:r>
      <w:r w:rsidR="00435039" w:rsidRPr="00E07512">
        <w:rPr>
          <w:rFonts w:cs="Calibri"/>
          <w:sz w:val="24"/>
          <w:szCs w:val="24"/>
        </w:rPr>
        <w:t>.</w:t>
      </w:r>
      <w:r w:rsidRPr="00E07512">
        <w:rPr>
          <w:rFonts w:cs="Calibri"/>
          <w:sz w:val="24"/>
          <w:szCs w:val="24"/>
        </w:rPr>
        <w:t xml:space="preserve"> </w:t>
      </w:r>
    </w:p>
    <w:p w14:paraId="29077C27" w14:textId="77777777" w:rsidR="00430DD1" w:rsidRDefault="00430DD1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47A7634" w14:textId="77777777" w:rsidR="00105DFC" w:rsidRPr="00E07512" w:rsidRDefault="00105DFC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42C854B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II.2 PRODOTTO FINITO</w:t>
      </w:r>
    </w:p>
    <w:p w14:paraId="0B025C2D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Descrizione e composizione</w:t>
      </w:r>
    </w:p>
    <w:p w14:paraId="6D7E90A8" w14:textId="6AE2CC70" w:rsidR="006E0FA0" w:rsidRDefault="007270CD" w:rsidP="006E0FA0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0B7AC8" w:rsidRPr="00E07512">
        <w:rPr>
          <w:rFonts w:cs="Calibri"/>
          <w:color w:val="000000"/>
          <w:sz w:val="24"/>
          <w:szCs w:val="24"/>
          <w:lang w:eastAsia="it-IT"/>
        </w:rPr>
        <w:t xml:space="preserve"> è disponibile in </w:t>
      </w:r>
      <w:r w:rsidR="006E0FA0">
        <w:rPr>
          <w:rFonts w:cs="Calibri"/>
          <w:color w:val="000000"/>
          <w:sz w:val="24"/>
          <w:szCs w:val="24"/>
          <w:lang w:eastAsia="it-IT"/>
        </w:rPr>
        <w:t>compresse</w:t>
      </w:r>
      <w:r w:rsidR="006E0FA0" w:rsidRPr="00E07512">
        <w:rPr>
          <w:rFonts w:cs="Calibri"/>
          <w:color w:val="000000"/>
          <w:sz w:val="24"/>
          <w:szCs w:val="24"/>
          <w:lang w:eastAsia="it-IT"/>
        </w:rPr>
        <w:t xml:space="preserve">, contenenti </w:t>
      </w:r>
      <w:r w:rsidR="006E0FA0">
        <w:rPr>
          <w:rFonts w:cs="Calibri"/>
          <w:color w:val="000000"/>
          <w:sz w:val="24"/>
          <w:szCs w:val="24"/>
          <w:lang w:eastAsia="it-IT"/>
        </w:rPr>
        <w:t>2</w:t>
      </w:r>
      <w:r w:rsidR="006E0FA0" w:rsidRPr="00E07512">
        <w:rPr>
          <w:rFonts w:cs="Calibri"/>
          <w:color w:val="000000"/>
          <w:sz w:val="24"/>
          <w:szCs w:val="24"/>
          <w:lang w:eastAsia="it-IT"/>
        </w:rPr>
        <w:t xml:space="preserve"> mg </w:t>
      </w:r>
      <w:r w:rsidR="006E0FA0">
        <w:rPr>
          <w:rFonts w:cs="Calibri"/>
          <w:color w:val="000000"/>
          <w:sz w:val="24"/>
          <w:szCs w:val="24"/>
          <w:lang w:eastAsia="it-IT"/>
        </w:rPr>
        <w:t>o</w:t>
      </w:r>
      <w:r w:rsidR="006E0FA0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6E0FA0">
        <w:rPr>
          <w:rFonts w:cs="Calibri"/>
          <w:color w:val="000000"/>
          <w:sz w:val="24"/>
          <w:szCs w:val="24"/>
          <w:lang w:eastAsia="it-IT"/>
        </w:rPr>
        <w:t>4</w:t>
      </w:r>
      <w:r w:rsidR="006E0FA0" w:rsidRPr="00E07512">
        <w:rPr>
          <w:rFonts w:cs="Calibri"/>
          <w:color w:val="000000"/>
          <w:sz w:val="24"/>
          <w:szCs w:val="24"/>
          <w:lang w:eastAsia="it-IT"/>
        </w:rPr>
        <w:t xml:space="preserve"> mg di principio attivo</w:t>
      </w:r>
      <w:r w:rsidR="006E0FA0">
        <w:rPr>
          <w:rFonts w:cs="Calibri"/>
          <w:color w:val="000000"/>
          <w:sz w:val="24"/>
          <w:szCs w:val="24"/>
          <w:lang w:eastAsia="it-IT"/>
        </w:rPr>
        <w:t>.</w:t>
      </w:r>
    </w:p>
    <w:p w14:paraId="5686F697" w14:textId="77777777" w:rsidR="006E0FA0" w:rsidRPr="00E07512" w:rsidRDefault="006E0FA0" w:rsidP="006E0FA0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5A3EBF88" w14:textId="3ED415B4" w:rsidR="00B30431" w:rsidRPr="00E07512" w:rsidRDefault="004E5A39" w:rsidP="00FA17CE">
      <w:pPr>
        <w:widowControl w:val="0"/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Gli eccipienti sono </w:t>
      </w:r>
      <w:r w:rsidR="00FA17CE" w:rsidRPr="00FA17CE">
        <w:rPr>
          <w:rFonts w:cs="Calibri"/>
          <w:sz w:val="24"/>
          <w:szCs w:val="24"/>
        </w:rPr>
        <w:t>Lattosio monoidrato</w:t>
      </w:r>
      <w:r w:rsidR="00FA17CE">
        <w:rPr>
          <w:rFonts w:cs="Calibri"/>
          <w:sz w:val="24"/>
          <w:szCs w:val="24"/>
        </w:rPr>
        <w:t xml:space="preserve">, </w:t>
      </w:r>
      <w:r w:rsidR="00FA17CE" w:rsidRPr="00FA17CE">
        <w:rPr>
          <w:rFonts w:cs="Calibri"/>
          <w:sz w:val="24"/>
          <w:szCs w:val="24"/>
        </w:rPr>
        <w:t>Amido pregelatinizzato (mais)</w:t>
      </w:r>
      <w:r w:rsidR="00FA17CE">
        <w:rPr>
          <w:rFonts w:cs="Calibri"/>
          <w:sz w:val="24"/>
          <w:szCs w:val="24"/>
        </w:rPr>
        <w:t xml:space="preserve">, </w:t>
      </w:r>
      <w:r w:rsidR="00FA17CE" w:rsidRPr="00FA17CE">
        <w:rPr>
          <w:rFonts w:cs="Calibri"/>
          <w:sz w:val="24"/>
          <w:szCs w:val="24"/>
        </w:rPr>
        <w:t>Macrogol 4000</w:t>
      </w:r>
      <w:r w:rsidR="00FA17CE">
        <w:rPr>
          <w:rFonts w:cs="Calibri"/>
          <w:sz w:val="24"/>
          <w:szCs w:val="24"/>
        </w:rPr>
        <w:t xml:space="preserve">, </w:t>
      </w:r>
      <w:r w:rsidR="00FA17CE" w:rsidRPr="00FA17CE">
        <w:rPr>
          <w:rFonts w:cs="Calibri"/>
          <w:sz w:val="24"/>
          <w:szCs w:val="24"/>
        </w:rPr>
        <w:t>Acido stearico</w:t>
      </w:r>
      <w:r w:rsidR="00FA17CE">
        <w:rPr>
          <w:rFonts w:cs="Calibri"/>
          <w:sz w:val="24"/>
          <w:szCs w:val="24"/>
        </w:rPr>
        <w:t xml:space="preserve">, </w:t>
      </w:r>
      <w:r w:rsidR="00FA17CE" w:rsidRPr="00FA17CE">
        <w:rPr>
          <w:rFonts w:cs="Calibri"/>
          <w:sz w:val="24"/>
          <w:szCs w:val="24"/>
        </w:rPr>
        <w:t>Saccarosio</w:t>
      </w:r>
      <w:r w:rsidR="00FA17CE">
        <w:rPr>
          <w:rFonts w:cs="Calibri"/>
          <w:sz w:val="24"/>
          <w:szCs w:val="24"/>
        </w:rPr>
        <w:t xml:space="preserve">, </w:t>
      </w:r>
      <w:r w:rsidR="00FA17CE" w:rsidRPr="00FA17CE">
        <w:rPr>
          <w:rFonts w:cs="Calibri"/>
          <w:sz w:val="24"/>
          <w:szCs w:val="24"/>
        </w:rPr>
        <w:t>Stearato di magnesio</w:t>
      </w:r>
      <w:r w:rsidR="00FA17CE">
        <w:rPr>
          <w:rFonts w:cs="Calibri"/>
          <w:sz w:val="24"/>
          <w:szCs w:val="24"/>
        </w:rPr>
        <w:t>.</w:t>
      </w:r>
    </w:p>
    <w:p w14:paraId="3446A3F1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50C1EBC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Sviluppo farmaceutico</w:t>
      </w:r>
    </w:p>
    <w:p w14:paraId="0D03BF08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Sono stati forniti dettagli dello sviluppo farmaceutico e questi sono stati ritenuti soddisfacenti.</w:t>
      </w:r>
    </w:p>
    <w:p w14:paraId="63C45A3D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EC6C92C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 xml:space="preserve">Produzione </w:t>
      </w:r>
    </w:p>
    <w:p w14:paraId="2B209638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Sono stati forniti una descrizione del metodo di produzione e la relativa flow-chart.</w:t>
      </w:r>
    </w:p>
    <w:p w14:paraId="1C2FB84A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6DBDAF78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1017E77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lastRenderedPageBreak/>
        <w:t>Specifiche del prodotto finito</w:t>
      </w:r>
    </w:p>
    <w:p w14:paraId="515D560C" w14:textId="5A506152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</w:t>
      </w:r>
      <w:r w:rsidR="000808A3" w:rsidRPr="00E07512">
        <w:rPr>
          <w:rFonts w:cs="Calibri"/>
          <w:sz w:val="24"/>
          <w:szCs w:val="24"/>
        </w:rPr>
        <w:t>per i diversi dosaggi del prodott</w:t>
      </w:r>
      <w:r w:rsidR="008767B9" w:rsidRPr="00E07512">
        <w:rPr>
          <w:rFonts w:cs="Calibri"/>
          <w:sz w:val="24"/>
          <w:szCs w:val="24"/>
        </w:rPr>
        <w:t>o</w:t>
      </w:r>
      <w:r w:rsidR="000808A3" w:rsidRPr="00E07512">
        <w:rPr>
          <w:rFonts w:cs="Calibri"/>
          <w:sz w:val="24"/>
          <w:szCs w:val="24"/>
        </w:rPr>
        <w:t xml:space="preserve"> finito</w:t>
      </w:r>
      <w:r w:rsidRPr="00E07512">
        <w:rPr>
          <w:rFonts w:cs="Calibri"/>
          <w:sz w:val="24"/>
          <w:szCs w:val="24"/>
        </w:rPr>
        <w:t xml:space="preserve">: questi dati dimostrano che i lotti prodotti sono in accordo alle specifiche proposte. Sono stati forniti, infine, </w:t>
      </w:r>
      <w:r w:rsidR="00F44B8C" w:rsidRPr="00E07512">
        <w:rPr>
          <w:rFonts w:cs="Calibri"/>
          <w:sz w:val="24"/>
          <w:szCs w:val="24"/>
        </w:rPr>
        <w:t>dati adeguati</w:t>
      </w:r>
      <w:r w:rsidRPr="00E07512">
        <w:rPr>
          <w:rFonts w:cs="Calibri"/>
          <w:sz w:val="24"/>
          <w:szCs w:val="24"/>
        </w:rPr>
        <w:t xml:space="preserve"> per </w:t>
      </w:r>
      <w:r w:rsidR="00F44B8C" w:rsidRPr="00E07512">
        <w:rPr>
          <w:rFonts w:cs="Calibri"/>
          <w:sz w:val="24"/>
          <w:szCs w:val="24"/>
        </w:rPr>
        <w:t>la qualità de</w:t>
      </w:r>
      <w:r w:rsidRPr="00E07512">
        <w:rPr>
          <w:rFonts w:cs="Calibri"/>
          <w:sz w:val="24"/>
          <w:szCs w:val="24"/>
        </w:rPr>
        <w:t>gli standard di riferimento utilizzati.</w:t>
      </w:r>
    </w:p>
    <w:p w14:paraId="04BAFAC1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14328346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Contenitore</w:t>
      </w:r>
    </w:p>
    <w:p w14:paraId="58FB0A99" w14:textId="19C9E664" w:rsidR="00445657" w:rsidRDefault="007270CD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0808A3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07512">
        <w:rPr>
          <w:rFonts w:cs="Calibri"/>
          <w:sz w:val="24"/>
          <w:szCs w:val="24"/>
        </w:rPr>
        <w:t xml:space="preserve">è confezionato in </w:t>
      </w:r>
      <w:r w:rsidR="00445657" w:rsidRPr="00445657">
        <w:rPr>
          <w:rFonts w:cs="Calibri"/>
          <w:sz w:val="24"/>
          <w:szCs w:val="24"/>
        </w:rPr>
        <w:t>Blister opachi in PVC/PVdC/PVC-alluminio contenenti 20 compresse</w:t>
      </w:r>
      <w:r w:rsidR="00445657">
        <w:rPr>
          <w:rFonts w:cs="Calibri"/>
          <w:sz w:val="24"/>
          <w:szCs w:val="24"/>
        </w:rPr>
        <w:t xml:space="preserve"> (dosaggio 2 mg) o in </w:t>
      </w:r>
      <w:r w:rsidR="00445657" w:rsidRPr="00445657">
        <w:rPr>
          <w:rFonts w:cs="Calibri"/>
          <w:sz w:val="24"/>
          <w:szCs w:val="24"/>
        </w:rPr>
        <w:t xml:space="preserve">Blister opachi in PVC/PVdC/PVC-alluminio contenenti </w:t>
      </w:r>
      <w:r w:rsidR="00445657">
        <w:rPr>
          <w:rFonts w:cs="Calibri"/>
          <w:sz w:val="24"/>
          <w:szCs w:val="24"/>
        </w:rPr>
        <w:t>3</w:t>
      </w:r>
      <w:r w:rsidR="00445657" w:rsidRPr="00445657">
        <w:rPr>
          <w:rFonts w:cs="Calibri"/>
          <w:sz w:val="24"/>
          <w:szCs w:val="24"/>
        </w:rPr>
        <w:t>0 compresse</w:t>
      </w:r>
      <w:r w:rsidR="00445657">
        <w:rPr>
          <w:rFonts w:cs="Calibri"/>
          <w:sz w:val="24"/>
          <w:szCs w:val="24"/>
        </w:rPr>
        <w:t xml:space="preserve"> (dosaggio 4 mg)</w:t>
      </w:r>
      <w:r w:rsidR="00445657" w:rsidRPr="00445657">
        <w:rPr>
          <w:rFonts w:cs="Calibri"/>
          <w:sz w:val="24"/>
          <w:szCs w:val="24"/>
        </w:rPr>
        <w:t>.</w:t>
      </w:r>
    </w:p>
    <w:p w14:paraId="4ADED5A1" w14:textId="782C5D0F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Sono state fornite </w:t>
      </w:r>
      <w:r w:rsidR="00F44B8C" w:rsidRPr="00E07512">
        <w:rPr>
          <w:rFonts w:cs="Calibri"/>
          <w:sz w:val="24"/>
          <w:szCs w:val="24"/>
        </w:rPr>
        <w:t xml:space="preserve">adeguate informazioni relative al </w:t>
      </w:r>
      <w:r w:rsidRPr="00E07512">
        <w:rPr>
          <w:rFonts w:cs="Calibri"/>
          <w:sz w:val="24"/>
          <w:szCs w:val="24"/>
        </w:rPr>
        <w:t>confezionamento primario.</w:t>
      </w:r>
    </w:p>
    <w:p w14:paraId="2BE036EE" w14:textId="77777777" w:rsidR="00BA0ACD" w:rsidRPr="00E07512" w:rsidRDefault="00BA0ACD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3A8199B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Stabilità</w:t>
      </w:r>
    </w:p>
    <w:p w14:paraId="72EB44A5" w14:textId="6F9A2FC6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DB51DF">
        <w:rPr>
          <w:rFonts w:cs="Calibri"/>
          <w:sz w:val="24"/>
          <w:szCs w:val="24"/>
        </w:rPr>
        <w:t xml:space="preserve">36 </w:t>
      </w:r>
      <w:r w:rsidR="00165D07" w:rsidRPr="00E07512">
        <w:rPr>
          <w:rFonts w:cs="Calibri"/>
          <w:sz w:val="24"/>
          <w:szCs w:val="24"/>
        </w:rPr>
        <w:t>mesi</w:t>
      </w:r>
      <w:r w:rsidRPr="00E07512">
        <w:rPr>
          <w:rFonts w:cs="Calibri"/>
          <w:sz w:val="24"/>
          <w:szCs w:val="24"/>
        </w:rPr>
        <w:t xml:space="preserve"> senza nessuna condizione particolare di conservazione</w:t>
      </w:r>
      <w:r w:rsidR="00DB51DF">
        <w:rPr>
          <w:rFonts w:cs="Calibri"/>
          <w:sz w:val="24"/>
          <w:szCs w:val="24"/>
        </w:rPr>
        <w:t>.</w:t>
      </w:r>
    </w:p>
    <w:p w14:paraId="46B55904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624B7A9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II.3</w:t>
      </w:r>
      <w:r w:rsidR="00AC3E39" w:rsidRPr="00E07512">
        <w:rPr>
          <w:rFonts w:cs="Calibri"/>
          <w:b/>
          <w:sz w:val="24"/>
          <w:szCs w:val="24"/>
        </w:rPr>
        <w:t xml:space="preserve"> </w:t>
      </w:r>
      <w:r w:rsidRPr="00E07512">
        <w:rPr>
          <w:rFonts w:cs="Calibri"/>
          <w:b/>
          <w:sz w:val="24"/>
          <w:szCs w:val="24"/>
        </w:rPr>
        <w:t>Discussione sugli aspetti di qualità</w:t>
      </w:r>
    </w:p>
    <w:p w14:paraId="39A693A1" w14:textId="7AF4BD92" w:rsidR="004E5A39" w:rsidRPr="00E07512" w:rsidRDefault="00F44B8C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L</w:t>
      </w:r>
      <w:r w:rsidR="004E5A39" w:rsidRPr="00E07512">
        <w:rPr>
          <w:rFonts w:cs="Calibri"/>
          <w:sz w:val="24"/>
          <w:szCs w:val="24"/>
        </w:rPr>
        <w:t xml:space="preserve">a qualità di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0808A3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07512">
        <w:rPr>
          <w:rFonts w:cs="Calibri"/>
          <w:sz w:val="24"/>
          <w:szCs w:val="24"/>
        </w:rPr>
        <w:t xml:space="preserve">è considerata adeguata. </w:t>
      </w:r>
      <w:r w:rsidR="00E42578" w:rsidRPr="00E07512">
        <w:rPr>
          <w:rFonts w:cs="Calibri"/>
          <w:sz w:val="24"/>
          <w:szCs w:val="24"/>
        </w:rPr>
        <w:t>Pertanto</w:t>
      </w:r>
      <w:r w:rsidR="009F395B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E07512">
        <w:rPr>
          <w:rFonts w:cs="Calibri"/>
          <w:sz w:val="24"/>
          <w:szCs w:val="24"/>
        </w:rPr>
        <w:t>dal punto di vista chimico-farmaceutico</w:t>
      </w:r>
      <w:r w:rsidR="00610BAB" w:rsidRPr="00E07512">
        <w:rPr>
          <w:rFonts w:cs="Calibri"/>
          <w:sz w:val="24"/>
          <w:szCs w:val="24"/>
        </w:rPr>
        <w:t xml:space="preserve">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323648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610BAB" w:rsidRPr="00E07512">
        <w:rPr>
          <w:rFonts w:cs="Calibri"/>
          <w:sz w:val="24"/>
          <w:szCs w:val="24"/>
        </w:rPr>
        <w:t>è stato considerato accettabile per l’autorizzazione all’immissione in commercio</w:t>
      </w:r>
      <w:r w:rsidR="004E5A39" w:rsidRPr="00E07512">
        <w:rPr>
          <w:rFonts w:cs="Calibri"/>
          <w:sz w:val="24"/>
          <w:szCs w:val="24"/>
        </w:rPr>
        <w:t>.</w:t>
      </w:r>
      <w:r w:rsidR="00323648" w:rsidRPr="00E07512">
        <w:rPr>
          <w:rFonts w:cs="Calibri"/>
          <w:sz w:val="24"/>
          <w:szCs w:val="24"/>
        </w:rPr>
        <w:t xml:space="preserve"> </w:t>
      </w:r>
    </w:p>
    <w:p w14:paraId="467A5B09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F03300D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8573D04" w14:textId="77777777" w:rsidR="004E5A39" w:rsidRPr="00E07512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ASPETTI NON CLINICI</w:t>
      </w:r>
    </w:p>
    <w:p w14:paraId="1AAFBCA0" w14:textId="1A198227" w:rsidR="00F27C7F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Non sono stati </w:t>
      </w:r>
      <w:r w:rsidR="00F27C7F" w:rsidRPr="00E07512">
        <w:rPr>
          <w:rFonts w:cs="Calibri"/>
          <w:sz w:val="24"/>
          <w:szCs w:val="24"/>
        </w:rPr>
        <w:t>presentati nuovi</w:t>
      </w:r>
      <w:r w:rsidRPr="00E07512">
        <w:rPr>
          <w:rFonts w:cs="Calibri"/>
          <w:sz w:val="24"/>
          <w:szCs w:val="24"/>
        </w:rPr>
        <w:t xml:space="preserve"> studi non clinici, in quanto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9F395B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>contiene principi attiv</w:t>
      </w:r>
      <w:r w:rsidR="00853EC6" w:rsidRPr="00E07512">
        <w:rPr>
          <w:rFonts w:cs="Calibri"/>
          <w:sz w:val="24"/>
          <w:szCs w:val="24"/>
        </w:rPr>
        <w:t>i</w:t>
      </w:r>
      <w:r w:rsidRPr="00E07512">
        <w:rPr>
          <w:rFonts w:cs="Calibri"/>
          <w:sz w:val="24"/>
          <w:szCs w:val="24"/>
        </w:rPr>
        <w:t xml:space="preserve"> not</w:t>
      </w:r>
      <w:r w:rsidR="00853EC6" w:rsidRPr="00E07512">
        <w:rPr>
          <w:rFonts w:cs="Calibri"/>
          <w:sz w:val="24"/>
          <w:szCs w:val="24"/>
        </w:rPr>
        <w:t>i</w:t>
      </w:r>
      <w:r w:rsidR="00F44B8C" w:rsidRPr="00E07512">
        <w:rPr>
          <w:rFonts w:cs="Calibri"/>
          <w:sz w:val="24"/>
          <w:szCs w:val="24"/>
        </w:rPr>
        <w:t xml:space="preserve"> presenti </w:t>
      </w:r>
      <w:r w:rsidR="00BA0ACD" w:rsidRPr="00E07512">
        <w:rPr>
          <w:rFonts w:cs="Calibri"/>
          <w:sz w:val="24"/>
          <w:szCs w:val="24"/>
        </w:rPr>
        <w:t>nel medicinale di riferimento</w:t>
      </w:r>
      <w:r w:rsidRPr="00E07512">
        <w:rPr>
          <w:rFonts w:cs="Calibri"/>
          <w:sz w:val="24"/>
          <w:szCs w:val="24"/>
        </w:rPr>
        <w:t xml:space="preserve">: questo approccio è accettabile poiché il medicinale di riferimento </w:t>
      </w:r>
      <w:r w:rsidR="00784318">
        <w:rPr>
          <w:rFonts w:cs="Calibri"/>
          <w:sz w:val="24"/>
          <w:szCs w:val="24"/>
          <w:lang w:eastAsia="it-IT"/>
        </w:rPr>
        <w:t>Sirdalud</w:t>
      </w:r>
      <w:r w:rsidR="009F395B" w:rsidRPr="00E07512">
        <w:rPr>
          <w:rFonts w:cs="Calibri"/>
          <w:sz w:val="24"/>
          <w:szCs w:val="24"/>
        </w:rPr>
        <w:t xml:space="preserve"> </w:t>
      </w:r>
      <w:r w:rsidRPr="00E07512">
        <w:rPr>
          <w:rFonts w:cs="Calibri"/>
          <w:sz w:val="24"/>
          <w:szCs w:val="24"/>
        </w:rPr>
        <w:t>è autorizzato in Italia da oltre 10 anni</w:t>
      </w:r>
      <w:r w:rsidR="000808A3" w:rsidRPr="00E07512">
        <w:rPr>
          <w:rFonts w:cs="Calibri"/>
          <w:sz w:val="24"/>
          <w:szCs w:val="24"/>
        </w:rPr>
        <w:t>.</w:t>
      </w:r>
      <w:r w:rsidR="009F395B" w:rsidRPr="00E07512">
        <w:rPr>
          <w:rFonts w:cs="Calibri"/>
          <w:sz w:val="24"/>
          <w:szCs w:val="24"/>
        </w:rPr>
        <w:t xml:space="preserve"> </w:t>
      </w:r>
    </w:p>
    <w:p w14:paraId="62E4177F" w14:textId="77777777" w:rsidR="00CF08A6" w:rsidRPr="00E07512" w:rsidRDefault="00CF08A6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710A5CD" w14:textId="5FA2CC3C" w:rsidR="000A7024" w:rsidRPr="00A31CC1" w:rsidRDefault="000A7024" w:rsidP="000A702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Pertanto</w:t>
      </w:r>
      <w:r w:rsidRPr="00A31CC1">
        <w:rPr>
          <w:rFonts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dal punto di vista non clinico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>
        <w:rPr>
          <w:rFonts w:cstheme="minorHAnsi"/>
          <w:color w:val="000000"/>
          <w:sz w:val="24"/>
          <w:szCs w:val="24"/>
          <w:lang w:eastAsia="it-IT"/>
        </w:rPr>
        <w:t>DOC</w:t>
      </w:r>
      <w:r w:rsidRPr="00A31CC1">
        <w:rPr>
          <w:rFonts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>è stato considerato accettabile per l’autorizzazione all’immissione in commercio.</w:t>
      </w:r>
    </w:p>
    <w:p w14:paraId="25B3EEC5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9D47300" w14:textId="77777777" w:rsidR="00E61C88" w:rsidRPr="00E07512" w:rsidRDefault="00E61C88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99AB3E7" w14:textId="77777777" w:rsidR="004E5A39" w:rsidRPr="00E07512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ASPETTI CLINICI</w:t>
      </w:r>
    </w:p>
    <w:p w14:paraId="442D095C" w14:textId="0382113D" w:rsidR="007A536E" w:rsidRDefault="007270CD" w:rsidP="007A536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9F395B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65B61" w:rsidRPr="00E07512">
        <w:rPr>
          <w:rFonts w:cs="Calibri"/>
          <w:sz w:val="24"/>
          <w:szCs w:val="24"/>
        </w:rPr>
        <w:t>è utilizzato per</w:t>
      </w:r>
      <w:r w:rsidR="007A536E">
        <w:rPr>
          <w:rFonts w:cs="Calibri"/>
          <w:sz w:val="24"/>
          <w:szCs w:val="24"/>
        </w:rPr>
        <w:t xml:space="preserve"> </w:t>
      </w:r>
    </w:p>
    <w:p w14:paraId="30D51D8D" w14:textId="7ACA7665" w:rsidR="007A536E" w:rsidRPr="007A536E" w:rsidRDefault="007A536E" w:rsidP="007A536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7A536E">
        <w:rPr>
          <w:rFonts w:cs="Calibri"/>
          <w:sz w:val="24"/>
          <w:szCs w:val="24"/>
        </w:rPr>
        <w:t>Spasmi muscolari dolorosi:</w:t>
      </w:r>
    </w:p>
    <w:p w14:paraId="7ADB8183" w14:textId="77777777" w:rsidR="007A536E" w:rsidRPr="007A536E" w:rsidRDefault="007A536E" w:rsidP="00105DFC">
      <w:pPr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7A536E">
        <w:rPr>
          <w:rFonts w:cs="Calibri"/>
          <w:sz w:val="24"/>
          <w:szCs w:val="24"/>
        </w:rPr>
        <w:t>associati a disordini statici e funzionali della colonna vertebrale (sindromi artrosiche cervicali e lombari, torcicollo, lombalgie, ecc.)</w:t>
      </w:r>
    </w:p>
    <w:p w14:paraId="52046FE1" w14:textId="77777777" w:rsidR="007A536E" w:rsidRPr="007A536E" w:rsidRDefault="007A536E" w:rsidP="00105DFC">
      <w:pPr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7A536E">
        <w:rPr>
          <w:rFonts w:cs="Calibri"/>
          <w:sz w:val="24"/>
          <w:szCs w:val="24"/>
        </w:rPr>
        <w:t>conseguenti ad interventi chirurgici (ernia del disco, artrosi dell’anca, ecc.).</w:t>
      </w:r>
    </w:p>
    <w:p w14:paraId="0F44FD28" w14:textId="77777777" w:rsidR="007A536E" w:rsidRPr="007A536E" w:rsidRDefault="007A536E" w:rsidP="007A536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64B0A904" w14:textId="77777777" w:rsidR="007A536E" w:rsidRPr="007A536E" w:rsidRDefault="007A536E" w:rsidP="007A536E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7A536E">
        <w:rPr>
          <w:rFonts w:cs="Calibri"/>
          <w:sz w:val="24"/>
          <w:szCs w:val="24"/>
        </w:rPr>
        <w:t>Spasticità conseguente a disordini neurologici:</w:t>
      </w:r>
    </w:p>
    <w:p w14:paraId="6850F536" w14:textId="77777777" w:rsidR="007A536E" w:rsidRPr="00E61C88" w:rsidRDefault="007A536E" w:rsidP="00105DFC">
      <w:pPr>
        <w:numPr>
          <w:ilvl w:val="0"/>
          <w:numId w:val="12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E61C88">
        <w:rPr>
          <w:rFonts w:cs="Calibri"/>
          <w:sz w:val="24"/>
          <w:szCs w:val="24"/>
        </w:rPr>
        <w:t>es. sclerosi multipla, mielopatia cronica, malattie degenerative del midollo spinale, incidenti vascolari cerebrali.</w:t>
      </w:r>
    </w:p>
    <w:p w14:paraId="1E9DF021" w14:textId="23F44EA8" w:rsidR="004E5A39" w:rsidRPr="00E07512" w:rsidRDefault="004E5A39" w:rsidP="00EF6711">
      <w:pPr>
        <w:spacing w:after="0" w:line="240" w:lineRule="auto"/>
        <w:ind w:right="6"/>
        <w:jc w:val="both"/>
        <w:rPr>
          <w:rFonts w:cs="Calibri"/>
          <w:sz w:val="24"/>
          <w:szCs w:val="24"/>
        </w:rPr>
      </w:pPr>
    </w:p>
    <w:p w14:paraId="2C11F11D" w14:textId="77777777" w:rsidR="004E5A39" w:rsidRPr="00E07512" w:rsidRDefault="004E5A39" w:rsidP="00EF6711">
      <w:pPr>
        <w:spacing w:after="0" w:line="240" w:lineRule="auto"/>
        <w:ind w:right="6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Posologia e modalità di somministrazione</w:t>
      </w:r>
    </w:p>
    <w:p w14:paraId="475BB82E" w14:textId="77777777" w:rsidR="004E5A39" w:rsidRPr="00E07512" w:rsidRDefault="004E5A39" w:rsidP="00EF6711">
      <w:pPr>
        <w:spacing w:after="0" w:line="240" w:lineRule="auto"/>
        <w:ind w:right="6"/>
        <w:jc w:val="both"/>
        <w:rPr>
          <w:rFonts w:cs="Calibri"/>
          <w:color w:val="000000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</w:rPr>
        <w:lastRenderedPageBreak/>
        <w:t xml:space="preserve">Le informazioni sulla posologia e sulle modalità di somministrazione sono riportate nel Riassunto delle Caratteristiche del Prodotto pubblicato sul sito dell’Agenzia Italiana del Farmaco - </w:t>
      </w:r>
      <w:hyperlink r:id="rId11" w:anchor="/it/" w:history="1">
        <w:r w:rsidR="00165D07" w:rsidRPr="00E07512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</w:t>
        </w:r>
      </w:hyperlink>
    </w:p>
    <w:p w14:paraId="6BEA68A6" w14:textId="75CB3722" w:rsidR="00C74500" w:rsidRPr="00E07512" w:rsidRDefault="00C74500" w:rsidP="00997F05">
      <w:pPr>
        <w:spacing w:after="0" w:line="240" w:lineRule="auto"/>
        <w:jc w:val="both"/>
        <w:rPr>
          <w:rFonts w:cs="Calibri"/>
          <w:b/>
          <w:i/>
          <w:sz w:val="24"/>
          <w:szCs w:val="24"/>
        </w:rPr>
      </w:pPr>
    </w:p>
    <w:p w14:paraId="1ABD89DD" w14:textId="77777777" w:rsidR="004E5A39" w:rsidRPr="00E07512" w:rsidRDefault="004E5A39" w:rsidP="00EF6711">
      <w:pPr>
        <w:spacing w:after="0" w:line="240" w:lineRule="auto"/>
        <w:ind w:right="6"/>
        <w:jc w:val="both"/>
        <w:rPr>
          <w:rFonts w:eastAsia="Times New Roman" w:cs="Calibri"/>
          <w:b/>
          <w:sz w:val="24"/>
          <w:szCs w:val="24"/>
        </w:rPr>
      </w:pPr>
      <w:r w:rsidRPr="00E07512">
        <w:rPr>
          <w:rFonts w:eastAsia="Times New Roman" w:cs="Calibri"/>
          <w:b/>
          <w:sz w:val="24"/>
          <w:szCs w:val="24"/>
        </w:rPr>
        <w:t>Farmacologia clinica</w:t>
      </w:r>
    </w:p>
    <w:p w14:paraId="745EA9F1" w14:textId="23FE91AB" w:rsidR="00BE7CDB" w:rsidRPr="00E07512" w:rsidRDefault="004E5A39" w:rsidP="00BE7CDB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  <w:lang w:eastAsia="it-IT"/>
        </w:rPr>
        <w:t xml:space="preserve">La farmacologia clinica di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C56FA9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  <w:lang w:eastAsia="it-IT"/>
        </w:rPr>
        <w:t>è ben conosciuta.</w:t>
      </w:r>
      <w:r w:rsidRPr="00E07512">
        <w:rPr>
          <w:rFonts w:cs="Calibri"/>
          <w:sz w:val="24"/>
          <w:szCs w:val="24"/>
        </w:rPr>
        <w:t xml:space="preserve">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C56FA9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>contiene principi attiv</w:t>
      </w:r>
      <w:r w:rsidR="00853EC6" w:rsidRPr="00E07512">
        <w:rPr>
          <w:rFonts w:cs="Calibri"/>
          <w:sz w:val="24"/>
          <w:szCs w:val="24"/>
        </w:rPr>
        <w:t>i</w:t>
      </w:r>
      <w:r w:rsidRPr="00E07512">
        <w:rPr>
          <w:rFonts w:cs="Calibri"/>
          <w:sz w:val="24"/>
          <w:szCs w:val="24"/>
        </w:rPr>
        <w:t xml:space="preserve"> not</w:t>
      </w:r>
      <w:r w:rsidR="00853EC6" w:rsidRPr="00E07512">
        <w:rPr>
          <w:rFonts w:cs="Calibri"/>
          <w:sz w:val="24"/>
          <w:szCs w:val="24"/>
        </w:rPr>
        <w:t>i</w:t>
      </w:r>
      <w:r w:rsidRPr="00E07512">
        <w:rPr>
          <w:rFonts w:cs="Calibri"/>
          <w:sz w:val="24"/>
          <w:szCs w:val="24"/>
        </w:rPr>
        <w:t xml:space="preserve"> </w:t>
      </w:r>
      <w:r w:rsidR="00745609" w:rsidRPr="00E07512">
        <w:rPr>
          <w:rFonts w:cs="Calibri"/>
          <w:sz w:val="24"/>
          <w:szCs w:val="24"/>
        </w:rPr>
        <w:t xml:space="preserve">e </w:t>
      </w:r>
      <w:r w:rsidRPr="00E07512">
        <w:rPr>
          <w:rFonts w:cs="Calibri"/>
          <w:sz w:val="24"/>
          <w:szCs w:val="24"/>
        </w:rPr>
        <w:t>present</w:t>
      </w:r>
      <w:r w:rsidR="00745609" w:rsidRPr="00E07512">
        <w:rPr>
          <w:rFonts w:cs="Calibri"/>
          <w:sz w:val="24"/>
          <w:szCs w:val="24"/>
        </w:rPr>
        <w:t>i</w:t>
      </w:r>
      <w:r w:rsidRPr="00E07512">
        <w:rPr>
          <w:rFonts w:cs="Calibri"/>
          <w:sz w:val="24"/>
          <w:szCs w:val="24"/>
        </w:rPr>
        <w:t xml:space="preserve"> nel medicinale </w:t>
      </w:r>
      <w:r w:rsidR="00BA0ACD" w:rsidRPr="00E07512">
        <w:rPr>
          <w:rFonts w:cs="Calibri"/>
          <w:sz w:val="24"/>
          <w:szCs w:val="24"/>
        </w:rPr>
        <w:t xml:space="preserve">di riferimento </w:t>
      </w:r>
      <w:r w:rsidR="007A536E" w:rsidRPr="007A536E">
        <w:rPr>
          <w:rFonts w:cs="Calibri"/>
          <w:sz w:val="24"/>
          <w:szCs w:val="24"/>
        </w:rPr>
        <w:t>Sirdalud</w:t>
      </w:r>
      <w:r w:rsidR="007A536E">
        <w:rPr>
          <w:rFonts w:cs="Calibri"/>
          <w:sz w:val="24"/>
          <w:szCs w:val="24"/>
        </w:rPr>
        <w:t>®</w:t>
      </w:r>
      <w:r w:rsidR="007A536E" w:rsidRPr="007A536E">
        <w:rPr>
          <w:rFonts w:cs="Calibri"/>
          <w:sz w:val="24"/>
          <w:szCs w:val="24"/>
        </w:rPr>
        <w:t xml:space="preserve"> </w:t>
      </w:r>
      <w:r w:rsidRPr="00E07512">
        <w:rPr>
          <w:rFonts w:cs="Calibri"/>
          <w:sz w:val="24"/>
          <w:szCs w:val="24"/>
        </w:rPr>
        <w:t xml:space="preserve">autorizzato in Italia da più di </w:t>
      </w:r>
      <w:r w:rsidR="00AD051C" w:rsidRPr="00E07512">
        <w:rPr>
          <w:rFonts w:cs="Calibri"/>
          <w:sz w:val="24"/>
          <w:szCs w:val="24"/>
        </w:rPr>
        <w:t xml:space="preserve">8 </w:t>
      </w:r>
      <w:r w:rsidRPr="00E07512">
        <w:rPr>
          <w:rFonts w:cs="Calibri"/>
          <w:sz w:val="24"/>
          <w:szCs w:val="24"/>
        </w:rPr>
        <w:t>anni.</w:t>
      </w:r>
      <w:r w:rsidR="006727BD" w:rsidRPr="00E07512">
        <w:rPr>
          <w:rFonts w:cs="Calibri"/>
          <w:sz w:val="24"/>
          <w:szCs w:val="24"/>
        </w:rPr>
        <w:t xml:space="preserve"> </w:t>
      </w:r>
      <w:r w:rsidR="00BE7CDB" w:rsidRPr="00E07512">
        <w:rPr>
          <w:rFonts w:cs="Calibri"/>
          <w:sz w:val="24"/>
          <w:szCs w:val="24"/>
        </w:rPr>
        <w:t>Con l’eccezione dello studio di bioequivalenza, non sono stati condotti nuovi studi clinici di farmacodinamica e farmacocinetica</w:t>
      </w:r>
      <w:r w:rsidR="00AD051C" w:rsidRPr="00E07512">
        <w:rPr>
          <w:rFonts w:cs="Calibri"/>
          <w:sz w:val="24"/>
          <w:szCs w:val="24"/>
        </w:rPr>
        <w:t>.</w:t>
      </w:r>
    </w:p>
    <w:p w14:paraId="6EAA6767" w14:textId="77777777" w:rsidR="00AD051C" w:rsidRPr="00E07512" w:rsidRDefault="00AD051C" w:rsidP="00BE7CD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A4DC724" w14:textId="77777777" w:rsidR="006727BD" w:rsidRPr="00E07512" w:rsidRDefault="006727BD" w:rsidP="006727BD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Studio di bioequivalenza</w:t>
      </w:r>
    </w:p>
    <w:p w14:paraId="34DD7922" w14:textId="782715E0" w:rsidR="005049A1" w:rsidRPr="00E07512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La richiesta di AIC è supportata da uno studio di bioequivalenza che ha confrontato i profili farmacocinetici di </w:t>
      </w:r>
      <w:r w:rsidR="007270CD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C56FA9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 xml:space="preserve">e quelli del medicinale di riferimento </w:t>
      </w:r>
      <w:r w:rsidR="007A536E" w:rsidRPr="007A536E">
        <w:rPr>
          <w:rFonts w:cs="Calibri"/>
          <w:sz w:val="24"/>
          <w:szCs w:val="24"/>
        </w:rPr>
        <w:t>Sirdalud</w:t>
      </w:r>
      <w:r w:rsidR="007A536E">
        <w:rPr>
          <w:rFonts w:cs="Calibri"/>
          <w:sz w:val="24"/>
          <w:szCs w:val="24"/>
        </w:rPr>
        <w:t>®.</w:t>
      </w:r>
    </w:p>
    <w:p w14:paraId="2F7CEB03" w14:textId="77777777" w:rsidR="005049A1" w:rsidRPr="00E07512" w:rsidRDefault="005049A1" w:rsidP="005049A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Lo studio era caratterizzato da un appropriato disegno ed è stato condotto in accordo ai principi GCP.</w:t>
      </w:r>
    </w:p>
    <w:p w14:paraId="604D516F" w14:textId="66102FA1" w:rsidR="007A536E" w:rsidRDefault="005049A1" w:rsidP="007A536E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Sono stati forniti certificati analitici per medicinale test e medicinale di riferimento.</w:t>
      </w:r>
    </w:p>
    <w:p w14:paraId="16002323" w14:textId="135E14F6" w:rsidR="007A536E" w:rsidRDefault="007A536E" w:rsidP="007A536E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1B56EC00" w14:textId="3EE2ABAA" w:rsidR="007A536E" w:rsidRDefault="007A536E" w:rsidP="007A536E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Lo studio, cross-over, dose singola, replicato completo </w:t>
      </w:r>
      <w:r w:rsidRPr="007A536E">
        <w:rPr>
          <w:rFonts w:cs="Calibri"/>
          <w:sz w:val="24"/>
          <w:szCs w:val="24"/>
        </w:rPr>
        <w:t>(2 trattamenti, 4 periodi, 2 sequenze)</w:t>
      </w:r>
      <w:r>
        <w:rPr>
          <w:rFonts w:cs="Calibri"/>
          <w:sz w:val="24"/>
          <w:szCs w:val="24"/>
        </w:rPr>
        <w:t>, randomizzato, è stato condotto somministrando test e reference a volontari sani in condizioni di digiuno.</w:t>
      </w:r>
    </w:p>
    <w:p w14:paraId="18E05EAB" w14:textId="77777777" w:rsidR="007A536E" w:rsidRPr="007A536E" w:rsidRDefault="007A536E" w:rsidP="007A536E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9D301E6" w14:textId="23B48B36" w:rsidR="005049A1" w:rsidRPr="00E07512" w:rsidRDefault="005049A1" w:rsidP="005049A1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szCs w:val="24"/>
          <w:lang w:val="it-IT"/>
        </w:rPr>
      </w:pPr>
      <w:r w:rsidRPr="00E07512">
        <w:rPr>
          <w:rFonts w:ascii="Calibri" w:hAnsi="Calibri" w:cs="Calibri"/>
          <w:b w:val="0"/>
          <w:i/>
          <w:szCs w:val="24"/>
          <w:lang w:val="it-IT"/>
        </w:rPr>
        <w:t>Parametri farmacocinetici</w:t>
      </w:r>
      <w:r w:rsidRPr="00E07512">
        <w:rPr>
          <w:rFonts w:ascii="Calibri" w:hAnsi="Calibri" w:cs="Calibri"/>
          <w:b w:val="0"/>
          <w:szCs w:val="24"/>
          <w:lang w:val="it-IT"/>
        </w:rPr>
        <w:t xml:space="preserve">. </w:t>
      </w:r>
    </w:p>
    <w:p w14:paraId="0E734D9A" w14:textId="06E6DDBE" w:rsidR="00F44B8C" w:rsidRDefault="005049A1" w:rsidP="007A536E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szCs w:val="24"/>
          <w:lang w:val="it-IT"/>
        </w:rPr>
      </w:pPr>
      <w:r w:rsidRPr="00E07512">
        <w:rPr>
          <w:rFonts w:ascii="Calibri" w:hAnsi="Calibri" w:cs="Calibri"/>
          <w:b w:val="0"/>
          <w:szCs w:val="24"/>
          <w:lang w:val="it-IT"/>
        </w:rPr>
        <w:t>La sintesi dei risultati dello studio di bioequivalenza è riportata nella tabella che segue.</w:t>
      </w:r>
    </w:p>
    <w:p w14:paraId="61D56982" w14:textId="77777777" w:rsidR="007A536E" w:rsidRPr="007A536E" w:rsidRDefault="007A536E" w:rsidP="007A536E"/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9"/>
        <w:gridCol w:w="1800"/>
        <w:gridCol w:w="2922"/>
        <w:gridCol w:w="2409"/>
      </w:tblGrid>
      <w:tr w:rsidR="00F44B8C" w:rsidRPr="00E07512" w14:paraId="41D9C043" w14:textId="77777777" w:rsidTr="00221C4C">
        <w:tc>
          <w:tcPr>
            <w:tcW w:w="1799" w:type="dxa"/>
            <w:shd w:val="clear" w:color="auto" w:fill="C0C0C0"/>
          </w:tcPr>
          <w:p w14:paraId="7874B3E8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de-DE" w:eastAsia="fi-FI"/>
              </w:rPr>
            </w:pPr>
            <w:r w:rsidRPr="00E07512">
              <w:rPr>
                <w:rFonts w:eastAsia="Times New Roman" w:cs="Calibri"/>
                <w:b/>
                <w:bCs/>
                <w:lang w:val="de-DE" w:eastAsia="fi-FI"/>
              </w:rPr>
              <w:t>Trattamento</w:t>
            </w:r>
          </w:p>
        </w:tc>
        <w:tc>
          <w:tcPr>
            <w:tcW w:w="1800" w:type="dxa"/>
            <w:shd w:val="clear" w:color="auto" w:fill="C0C0C0"/>
          </w:tcPr>
          <w:p w14:paraId="3026B681" w14:textId="77777777" w:rsidR="00F44B8C" w:rsidRPr="00E07512" w:rsidRDefault="00F44B8C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E07512">
              <w:rPr>
                <w:rFonts w:eastAsia="Times New Roman" w:cs="Calibri"/>
                <w:b/>
                <w:bCs/>
                <w:lang w:val="de-DE" w:eastAsia="fi-FI"/>
              </w:rPr>
              <w:t>AUC</w:t>
            </w:r>
            <w:r w:rsidRPr="00E07512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0-t</w:t>
            </w:r>
          </w:p>
          <w:p w14:paraId="58344A01" w14:textId="4C8D8111" w:rsidR="00F44B8C" w:rsidRPr="00E07512" w:rsidRDefault="00533F70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p</w:t>
            </w:r>
            <w:r w:rsidR="00F44B8C" w:rsidRPr="00E07512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g/ml/h</w:t>
            </w:r>
          </w:p>
          <w:p w14:paraId="6907EBB7" w14:textId="77777777" w:rsidR="00F44B8C" w:rsidRPr="00E07512" w:rsidRDefault="00F44B8C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de-DE" w:eastAsia="fi-FI"/>
              </w:rPr>
            </w:pPr>
          </w:p>
        </w:tc>
        <w:tc>
          <w:tcPr>
            <w:tcW w:w="2922" w:type="dxa"/>
            <w:shd w:val="clear" w:color="auto" w:fill="C0C0C0"/>
          </w:tcPr>
          <w:p w14:paraId="6FEAC623" w14:textId="77777777" w:rsidR="00F44B8C" w:rsidRPr="00E07512" w:rsidRDefault="00F44B8C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</w:pPr>
            <w:r w:rsidRPr="00E07512">
              <w:rPr>
                <w:rFonts w:eastAsia="Times New Roman" w:cs="Calibri"/>
                <w:b/>
                <w:bCs/>
                <w:lang w:val="en-GB" w:eastAsia="fi-FI"/>
              </w:rPr>
              <w:t>C</w:t>
            </w:r>
            <w:r w:rsidRPr="00E07512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max</w:t>
            </w:r>
          </w:p>
          <w:p w14:paraId="1CC013D2" w14:textId="458C0A20" w:rsidR="00F44B8C" w:rsidRPr="00E07512" w:rsidRDefault="00533F70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GB" w:eastAsia="fi-FI"/>
              </w:rPr>
            </w:pPr>
            <w:r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p</w:t>
            </w:r>
            <w:r w:rsidR="00F44B8C" w:rsidRPr="00E07512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g/ml</w:t>
            </w:r>
          </w:p>
        </w:tc>
        <w:tc>
          <w:tcPr>
            <w:tcW w:w="2409" w:type="dxa"/>
            <w:shd w:val="clear" w:color="auto" w:fill="C0C0C0"/>
          </w:tcPr>
          <w:p w14:paraId="0FC5105F" w14:textId="77777777" w:rsidR="00F44B8C" w:rsidRPr="00E07512" w:rsidRDefault="00F44B8C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E07512">
              <w:rPr>
                <w:rFonts w:eastAsia="Times New Roman" w:cs="Calibri"/>
                <w:b/>
                <w:bCs/>
                <w:lang w:val="de-DE" w:eastAsia="fi-FI"/>
              </w:rPr>
              <w:t>t</w:t>
            </w:r>
            <w:r w:rsidRPr="00E07512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max</w:t>
            </w:r>
          </w:p>
          <w:p w14:paraId="1611BF04" w14:textId="77777777" w:rsidR="00F44B8C" w:rsidRPr="00E07512" w:rsidRDefault="00F44B8C" w:rsidP="00F44B8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de-DE" w:eastAsia="fi-FI"/>
              </w:rPr>
            </w:pPr>
            <w:r w:rsidRPr="00E07512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h</w:t>
            </w:r>
          </w:p>
        </w:tc>
      </w:tr>
      <w:tr w:rsidR="00F44B8C" w:rsidRPr="00E07512" w14:paraId="57583829" w14:textId="77777777" w:rsidTr="00221C4C">
        <w:tc>
          <w:tcPr>
            <w:tcW w:w="1799" w:type="dxa"/>
          </w:tcPr>
          <w:p w14:paraId="59B1B2F0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07512">
              <w:rPr>
                <w:rFonts w:eastAsia="Times New Roman" w:cs="Calibri"/>
                <w:b/>
                <w:bCs/>
                <w:lang w:val="en-GB" w:eastAsia="fi-FI"/>
              </w:rPr>
              <w:t>Test</w:t>
            </w:r>
          </w:p>
          <w:p w14:paraId="112A90E9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1800" w:type="dxa"/>
          </w:tcPr>
          <w:p w14:paraId="2905E774" w14:textId="3F458AC1" w:rsidR="00F44B8C" w:rsidRPr="00E07512" w:rsidRDefault="00533F70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533F70">
              <w:rPr>
                <w:rFonts w:eastAsia="Times New Roman" w:cs="Calibri"/>
                <w:lang w:val="en-GB" w:eastAsia="fi-FI"/>
              </w:rPr>
              <w:t>10308 ± 7945</w:t>
            </w:r>
          </w:p>
        </w:tc>
        <w:tc>
          <w:tcPr>
            <w:tcW w:w="2922" w:type="dxa"/>
          </w:tcPr>
          <w:p w14:paraId="628D1871" w14:textId="32D42A05" w:rsidR="00F44B8C" w:rsidRPr="00E07512" w:rsidRDefault="00533F70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533F70">
              <w:rPr>
                <w:rFonts w:eastAsia="Times New Roman" w:cs="Calibri"/>
                <w:lang w:val="en-GB" w:eastAsia="fi-FI"/>
              </w:rPr>
              <w:t>3945 ±2714</w:t>
            </w:r>
          </w:p>
        </w:tc>
        <w:tc>
          <w:tcPr>
            <w:tcW w:w="2409" w:type="dxa"/>
          </w:tcPr>
          <w:p w14:paraId="53338190" w14:textId="77777777" w:rsidR="0014152A" w:rsidRPr="0014152A" w:rsidRDefault="0014152A" w:rsidP="0014152A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14152A">
              <w:rPr>
                <w:rFonts w:eastAsia="Times New Roman" w:cs="Calibri"/>
                <w:lang w:val="en-GB" w:eastAsia="fi-FI"/>
              </w:rPr>
              <w:t>0.75</w:t>
            </w:r>
          </w:p>
          <w:p w14:paraId="59EF95F2" w14:textId="79FE5F61" w:rsidR="00F44B8C" w:rsidRPr="00E07512" w:rsidRDefault="0014152A" w:rsidP="0014152A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14152A">
              <w:rPr>
                <w:rFonts w:eastAsia="Times New Roman" w:cs="Calibri"/>
                <w:lang w:val="en-GB" w:eastAsia="fi-FI"/>
              </w:rPr>
              <w:t>(0.50 – 2.50)</w:t>
            </w:r>
          </w:p>
        </w:tc>
      </w:tr>
      <w:tr w:rsidR="00F44B8C" w:rsidRPr="00E07512" w14:paraId="00DD3BC8" w14:textId="77777777" w:rsidTr="00221C4C">
        <w:tc>
          <w:tcPr>
            <w:tcW w:w="1799" w:type="dxa"/>
          </w:tcPr>
          <w:p w14:paraId="6E6F4F2A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07512">
              <w:rPr>
                <w:rFonts w:eastAsia="Times New Roman" w:cs="Calibri"/>
                <w:b/>
                <w:bCs/>
                <w:lang w:val="en-GB" w:eastAsia="fi-FI"/>
              </w:rPr>
              <w:t>Reference</w:t>
            </w:r>
          </w:p>
          <w:p w14:paraId="3F3CE908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1800" w:type="dxa"/>
          </w:tcPr>
          <w:p w14:paraId="1EC4AB9A" w14:textId="49D4D401" w:rsidR="00F44B8C" w:rsidRPr="00E07512" w:rsidRDefault="00533F70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533F70">
              <w:rPr>
                <w:rFonts w:eastAsia="Times New Roman" w:cs="Calibri"/>
                <w:lang w:val="en-GB" w:eastAsia="fi-FI"/>
              </w:rPr>
              <w:t>10732 ± 8220</w:t>
            </w:r>
          </w:p>
        </w:tc>
        <w:tc>
          <w:tcPr>
            <w:tcW w:w="2922" w:type="dxa"/>
          </w:tcPr>
          <w:p w14:paraId="79F808A9" w14:textId="48726CD1" w:rsidR="00F44B8C" w:rsidRPr="00E07512" w:rsidRDefault="00533F70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533F70">
              <w:rPr>
                <w:rFonts w:eastAsia="Times New Roman" w:cs="Calibri"/>
                <w:lang w:val="en-GB" w:eastAsia="fi-FI"/>
              </w:rPr>
              <w:t>4237 ± 3142</w:t>
            </w:r>
          </w:p>
        </w:tc>
        <w:tc>
          <w:tcPr>
            <w:tcW w:w="2409" w:type="dxa"/>
          </w:tcPr>
          <w:p w14:paraId="006A226D" w14:textId="77777777" w:rsidR="0014152A" w:rsidRPr="0014152A" w:rsidRDefault="0014152A" w:rsidP="0014152A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14152A">
              <w:rPr>
                <w:rFonts w:eastAsia="Times New Roman" w:cs="Calibri"/>
                <w:lang w:val="en-GB" w:eastAsia="fi-FI"/>
              </w:rPr>
              <w:t>0.88</w:t>
            </w:r>
          </w:p>
          <w:p w14:paraId="3B7133CE" w14:textId="02B770B7" w:rsidR="00F44B8C" w:rsidRPr="00E07512" w:rsidRDefault="0014152A" w:rsidP="0014152A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14152A">
              <w:rPr>
                <w:rFonts w:eastAsia="Times New Roman" w:cs="Calibri"/>
                <w:lang w:val="en-GB" w:eastAsia="fi-FI"/>
              </w:rPr>
              <w:t>(0.25 – 2.50)</w:t>
            </w:r>
          </w:p>
        </w:tc>
      </w:tr>
      <w:tr w:rsidR="00F44B8C" w:rsidRPr="00E07512" w14:paraId="6E70B721" w14:textId="77777777" w:rsidTr="00221C4C">
        <w:tc>
          <w:tcPr>
            <w:tcW w:w="1799" w:type="dxa"/>
          </w:tcPr>
          <w:p w14:paraId="424B283F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E07512">
              <w:rPr>
                <w:rFonts w:eastAsia="Times New Roman" w:cs="Calibri"/>
                <w:b/>
                <w:bCs/>
                <w:lang w:val="en-GB" w:eastAsia="fi-FI"/>
              </w:rPr>
              <w:t>*Ratio (90% CI)</w:t>
            </w:r>
          </w:p>
          <w:p w14:paraId="5853C264" w14:textId="77777777" w:rsidR="00F44B8C" w:rsidRPr="00E07512" w:rsidRDefault="00F44B8C" w:rsidP="00F44B8C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1800" w:type="dxa"/>
          </w:tcPr>
          <w:p w14:paraId="5B602D82" w14:textId="77777777" w:rsidR="00533F70" w:rsidRPr="00533F70" w:rsidRDefault="00533F70" w:rsidP="00533F70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533F70">
              <w:rPr>
                <w:rFonts w:eastAsia="Times New Roman" w:cs="Calibri"/>
                <w:lang w:val="en-GB" w:eastAsia="fi-FI"/>
              </w:rPr>
              <w:t>98.25</w:t>
            </w:r>
          </w:p>
          <w:p w14:paraId="205562E7" w14:textId="13BEB8A2" w:rsidR="00F44B8C" w:rsidRPr="00E07512" w:rsidRDefault="00533F70" w:rsidP="00533F70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533F70">
              <w:rPr>
                <w:rFonts w:eastAsia="Times New Roman" w:cs="Calibri"/>
                <w:lang w:val="en-GB" w:eastAsia="fi-FI"/>
              </w:rPr>
              <w:t>(89.72 – 107.60)</w:t>
            </w:r>
          </w:p>
        </w:tc>
        <w:tc>
          <w:tcPr>
            <w:tcW w:w="2922" w:type="dxa"/>
          </w:tcPr>
          <w:p w14:paraId="03FD9470" w14:textId="77777777" w:rsidR="0014152A" w:rsidRPr="0014152A" w:rsidRDefault="0014152A" w:rsidP="0014152A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14152A">
              <w:rPr>
                <w:rFonts w:eastAsia="Times New Roman" w:cs="Calibri"/>
                <w:lang w:val="en-GB" w:eastAsia="fi-FI"/>
              </w:rPr>
              <w:t>95.50</w:t>
            </w:r>
          </w:p>
          <w:p w14:paraId="06BFF2F7" w14:textId="0E7F1A87" w:rsidR="00F44B8C" w:rsidRPr="00E07512" w:rsidRDefault="0014152A" w:rsidP="0014152A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14152A">
              <w:rPr>
                <w:rFonts w:eastAsia="Times New Roman" w:cs="Calibri"/>
                <w:lang w:val="en-GB" w:eastAsia="fi-FI"/>
              </w:rPr>
              <w:t>(</w:t>
            </w:r>
            <w:r w:rsidR="0099362A" w:rsidRPr="0014152A">
              <w:rPr>
                <w:rFonts w:eastAsia="Times New Roman" w:cs="Calibri"/>
                <w:lang w:val="en-GB" w:eastAsia="fi-FI"/>
              </w:rPr>
              <w:t>8</w:t>
            </w:r>
            <w:r w:rsidR="0099362A">
              <w:rPr>
                <w:rFonts w:eastAsia="Times New Roman" w:cs="Calibri"/>
                <w:lang w:val="en-GB" w:eastAsia="fi-FI"/>
              </w:rPr>
              <w:t>6</w:t>
            </w:r>
            <w:r w:rsidRPr="0014152A">
              <w:rPr>
                <w:rFonts w:eastAsia="Times New Roman" w:cs="Calibri"/>
                <w:lang w:val="en-GB" w:eastAsia="fi-FI"/>
              </w:rPr>
              <w:t>.86– 105.00)</w:t>
            </w:r>
          </w:p>
        </w:tc>
        <w:tc>
          <w:tcPr>
            <w:tcW w:w="2409" w:type="dxa"/>
          </w:tcPr>
          <w:p w14:paraId="0CD8A64E" w14:textId="77777777" w:rsidR="00F44B8C" w:rsidRPr="00E07512" w:rsidRDefault="00F44B8C" w:rsidP="00F44B8C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</w:p>
        </w:tc>
      </w:tr>
      <w:tr w:rsidR="00F44B8C" w:rsidRPr="00E07512" w14:paraId="08C52E79" w14:textId="77777777" w:rsidTr="00221C4C">
        <w:tc>
          <w:tcPr>
            <w:tcW w:w="8930" w:type="dxa"/>
            <w:gridSpan w:val="4"/>
          </w:tcPr>
          <w:p w14:paraId="752E610D" w14:textId="77777777" w:rsidR="00F44B8C" w:rsidRPr="00E07512" w:rsidRDefault="00F44B8C" w:rsidP="00F44B8C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E07512">
              <w:rPr>
                <w:rFonts w:cs="Calibri"/>
                <w:b/>
                <w:bCs/>
                <w:sz w:val="16"/>
                <w:szCs w:val="16"/>
              </w:rPr>
              <w:t>AUC</w:t>
            </w:r>
            <w:r w:rsidRPr="00E07512">
              <w:rPr>
                <w:rFonts w:cs="Calibri"/>
                <w:b/>
                <w:bCs/>
                <w:sz w:val="16"/>
                <w:szCs w:val="16"/>
                <w:vertAlign w:val="subscript"/>
              </w:rPr>
              <w:t>0-t</w:t>
            </w:r>
            <w:r w:rsidRPr="00E07512">
              <w:rPr>
                <w:rFonts w:cs="Calibri"/>
                <w:b/>
                <w:sz w:val="16"/>
                <w:szCs w:val="16"/>
                <w:vertAlign w:val="subscript"/>
              </w:rPr>
              <w:t xml:space="preserve"> </w:t>
            </w:r>
            <w:r w:rsidRPr="00E07512">
              <w:rPr>
                <w:rFonts w:cs="Calibri"/>
                <w:b/>
                <w:sz w:val="16"/>
                <w:szCs w:val="16"/>
                <w:vertAlign w:val="subscript"/>
              </w:rPr>
              <w:tab/>
            </w:r>
            <w:r w:rsidRPr="00E07512">
              <w:rPr>
                <w:rFonts w:cs="Calibri"/>
                <w:sz w:val="16"/>
                <w:szCs w:val="16"/>
              </w:rPr>
              <w:t>Area sotto la curva dal tempo zero al tempo t</w:t>
            </w:r>
          </w:p>
          <w:p w14:paraId="0F4E1780" w14:textId="77777777" w:rsidR="00F44B8C" w:rsidRPr="00E07512" w:rsidRDefault="00F44B8C" w:rsidP="00F44B8C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E07512">
              <w:rPr>
                <w:rFonts w:cs="Calibri"/>
                <w:b/>
                <w:bCs/>
                <w:sz w:val="16"/>
                <w:szCs w:val="16"/>
              </w:rPr>
              <w:t>C</w:t>
            </w:r>
            <w:r w:rsidRPr="00E07512">
              <w:rPr>
                <w:rFonts w:cs="Calibri"/>
                <w:b/>
                <w:bCs/>
                <w:sz w:val="16"/>
                <w:szCs w:val="16"/>
                <w:vertAlign w:val="subscript"/>
              </w:rPr>
              <w:t>max</w:t>
            </w:r>
            <w:r w:rsidRPr="00E07512"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 w:rsidRPr="00E07512">
              <w:rPr>
                <w:rFonts w:cs="Calibri"/>
                <w:b/>
                <w:sz w:val="16"/>
                <w:szCs w:val="16"/>
              </w:rPr>
              <w:tab/>
            </w:r>
            <w:r w:rsidRPr="00E07512">
              <w:rPr>
                <w:rFonts w:cs="Calibri"/>
                <w:sz w:val="16"/>
                <w:szCs w:val="16"/>
              </w:rPr>
              <w:t>Concentrazione plasmatica massima</w:t>
            </w:r>
            <w:r w:rsidRPr="00E07512"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1E85301" w14:textId="77777777" w:rsidR="00F44B8C" w:rsidRPr="00E07512" w:rsidRDefault="00F44B8C" w:rsidP="00F44B8C">
            <w:pPr>
              <w:tabs>
                <w:tab w:val="center" w:pos="4429"/>
              </w:tabs>
              <w:spacing w:after="0" w:line="240" w:lineRule="auto"/>
              <w:rPr>
                <w:rFonts w:eastAsia="Times New Roman" w:cs="Calibri"/>
                <w:lang w:eastAsia="fi-FI"/>
              </w:rPr>
            </w:pPr>
            <w:r w:rsidRPr="00E07512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>t</w:t>
            </w:r>
            <w:r w:rsidRPr="00E07512">
              <w:rPr>
                <w:rFonts w:eastAsia="Times New Roman" w:cs="Calibri"/>
                <w:b/>
                <w:bCs/>
                <w:sz w:val="16"/>
                <w:szCs w:val="16"/>
                <w:vertAlign w:val="subscript"/>
                <w:lang w:eastAsia="fi-FI"/>
              </w:rPr>
              <w:t>max</w:t>
            </w:r>
            <w:r w:rsidRPr="00E07512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 xml:space="preserve">            </w:t>
            </w:r>
            <w:r w:rsidRPr="00E07512">
              <w:rPr>
                <w:rFonts w:eastAsia="Times New Roman" w:cs="Calibri"/>
                <w:sz w:val="16"/>
                <w:szCs w:val="16"/>
              </w:rPr>
              <w:t>Tempo al picco di concentrazione plasmatica</w:t>
            </w:r>
          </w:p>
        </w:tc>
      </w:tr>
    </w:tbl>
    <w:p w14:paraId="0F949B05" w14:textId="77777777" w:rsidR="00F44B8C" w:rsidRPr="00F44B8C" w:rsidRDefault="00F44B8C" w:rsidP="00132B98"/>
    <w:p w14:paraId="530BD818" w14:textId="77777777" w:rsidR="005049A1" w:rsidRPr="00E07512" w:rsidRDefault="005049A1" w:rsidP="005049A1">
      <w:pPr>
        <w:spacing w:after="0" w:line="240" w:lineRule="auto"/>
        <w:rPr>
          <w:rFonts w:cs="Calibri"/>
          <w:sz w:val="24"/>
          <w:szCs w:val="24"/>
        </w:rPr>
      </w:pPr>
      <w:r w:rsidRPr="00E07512">
        <w:rPr>
          <w:rFonts w:cs="Calibri"/>
          <w:i/>
          <w:sz w:val="24"/>
          <w:szCs w:val="24"/>
        </w:rPr>
        <w:t>Conclusioni sulla bioequivalenza</w:t>
      </w:r>
      <w:r w:rsidRPr="00E07512">
        <w:rPr>
          <w:rFonts w:cs="Calibri"/>
          <w:sz w:val="24"/>
          <w:szCs w:val="24"/>
        </w:rPr>
        <w:t>.</w:t>
      </w:r>
    </w:p>
    <w:p w14:paraId="086E034A" w14:textId="77777777" w:rsidR="005049A1" w:rsidRPr="00E07512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I risultati degli studi di bioequivalenza mostrano che gli intervalli di confidenza dei parametri farmacocinetici studiati cadono nel range di accettabilità di 80-125%, in accordo con le linee guida correnti.</w:t>
      </w:r>
    </w:p>
    <w:p w14:paraId="7F80D6F1" w14:textId="77777777" w:rsidR="0078680B" w:rsidRPr="00E07512" w:rsidRDefault="0078680B" w:rsidP="00A47604">
      <w:pPr>
        <w:spacing w:after="0" w:line="240" w:lineRule="auto"/>
        <w:ind w:right="6"/>
        <w:jc w:val="both"/>
        <w:rPr>
          <w:rFonts w:cs="Calibri"/>
          <w:b/>
          <w:i/>
          <w:sz w:val="24"/>
          <w:szCs w:val="24"/>
          <w:highlight w:val="green"/>
          <w:lang w:eastAsia="it-IT"/>
        </w:rPr>
      </w:pPr>
    </w:p>
    <w:p w14:paraId="27CEEB62" w14:textId="46C88BE7" w:rsidR="004631F3" w:rsidRPr="00E07512" w:rsidRDefault="004631F3" w:rsidP="004631F3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</w:rPr>
        <w:t xml:space="preserve">I risultati dello studio di bioequivalenza </w:t>
      </w:r>
      <w:r w:rsidR="0014152A">
        <w:rPr>
          <w:rFonts w:cs="Calibri"/>
          <w:sz w:val="24"/>
          <w:szCs w:val="24"/>
        </w:rPr>
        <w:t xml:space="preserve">n. </w:t>
      </w:r>
      <w:r w:rsidR="0014152A" w:rsidRPr="0014152A">
        <w:rPr>
          <w:rFonts w:cs="Calibri"/>
          <w:sz w:val="24"/>
          <w:szCs w:val="24"/>
        </w:rPr>
        <w:t>073B18</w:t>
      </w:r>
      <w:r w:rsidR="0014152A">
        <w:rPr>
          <w:rFonts w:cs="Calibri"/>
          <w:sz w:val="24"/>
          <w:szCs w:val="24"/>
        </w:rPr>
        <w:t xml:space="preserve"> </w:t>
      </w:r>
      <w:r w:rsidRPr="00E07512">
        <w:rPr>
          <w:rFonts w:cs="Calibri"/>
          <w:sz w:val="24"/>
          <w:szCs w:val="24"/>
        </w:rPr>
        <w:t xml:space="preserve">condotto con il dosaggio da </w:t>
      </w:r>
      <w:r w:rsidR="0014152A">
        <w:rPr>
          <w:rFonts w:cs="Calibri"/>
          <w:sz w:val="24"/>
          <w:szCs w:val="24"/>
        </w:rPr>
        <w:t>4 mg</w:t>
      </w:r>
      <w:r w:rsidRPr="00E07512">
        <w:rPr>
          <w:rFonts w:cs="Calibri"/>
          <w:sz w:val="24"/>
          <w:szCs w:val="24"/>
        </w:rPr>
        <w:t xml:space="preserve"> può essere estrapolato agli altri dosaggi da </w:t>
      </w:r>
      <w:r w:rsidR="0014152A">
        <w:rPr>
          <w:rFonts w:cs="Calibri"/>
          <w:sz w:val="24"/>
          <w:szCs w:val="24"/>
        </w:rPr>
        <w:t>2 mg,</w:t>
      </w:r>
      <w:r w:rsidRPr="00E07512">
        <w:rPr>
          <w:rFonts w:cs="Calibri"/>
          <w:sz w:val="24"/>
          <w:szCs w:val="24"/>
        </w:rPr>
        <w:t xml:space="preserve"> </w:t>
      </w:r>
      <w:r w:rsidR="00F76F77" w:rsidRPr="00E07512">
        <w:rPr>
          <w:rFonts w:eastAsia="Times New Roman" w:cs="Calibri"/>
          <w:bCs/>
          <w:color w:val="000000"/>
          <w:sz w:val="24"/>
          <w:szCs w:val="24"/>
          <w:lang w:eastAsia="it-IT"/>
        </w:rPr>
        <w:t xml:space="preserve">in quanto sono stati soddisfatti i requisiti per la concessione del waiver di cui al paragrafo 4.1.6 della linea guida </w:t>
      </w:r>
      <w:r w:rsidR="00F76F77" w:rsidRPr="00E07512">
        <w:rPr>
          <w:rFonts w:cs="Calibri"/>
          <w:sz w:val="24"/>
          <w:szCs w:val="24"/>
        </w:rPr>
        <w:t xml:space="preserve">Guideline on the Investigation of Bioequivalence </w:t>
      </w:r>
      <w:r w:rsidR="00F76F77" w:rsidRPr="00E07512">
        <w:rPr>
          <w:rFonts w:eastAsia="Times New Roman" w:cs="Calibri"/>
          <w:bCs/>
          <w:color w:val="000000"/>
          <w:sz w:val="24"/>
          <w:szCs w:val="24"/>
          <w:lang w:eastAsia="it-IT"/>
        </w:rPr>
        <w:t>CPMP/EWP/QWP/98 rev.1/Corr**</w:t>
      </w:r>
    </w:p>
    <w:p w14:paraId="19DE19B1" w14:textId="13A43B9D" w:rsidR="004631F3" w:rsidRPr="0014152A" w:rsidRDefault="004631F3" w:rsidP="0014152A">
      <w:pPr>
        <w:spacing w:after="0" w:line="240" w:lineRule="auto"/>
        <w:ind w:right="6"/>
        <w:jc w:val="both"/>
        <w:rPr>
          <w:rFonts w:cs="Calibri"/>
          <w:b/>
          <w:i/>
          <w:sz w:val="24"/>
          <w:szCs w:val="24"/>
          <w:highlight w:val="green"/>
          <w:lang w:eastAsia="it-IT"/>
        </w:rPr>
      </w:pPr>
      <w:r w:rsidRPr="00E07512">
        <w:rPr>
          <w:rFonts w:cs="Calibri"/>
          <w:sz w:val="24"/>
          <w:szCs w:val="24"/>
        </w:rPr>
        <w:t xml:space="preserve"> </w:t>
      </w:r>
    </w:p>
    <w:p w14:paraId="788C652D" w14:textId="77777777" w:rsidR="005049A1" w:rsidRPr="00E07512" w:rsidRDefault="005049A1" w:rsidP="005049A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Efficacia e sicurezza clinica</w:t>
      </w:r>
    </w:p>
    <w:p w14:paraId="07DDFF82" w14:textId="3D29731A" w:rsidR="005049A1" w:rsidRPr="00E07512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lastRenderedPageBreak/>
        <w:t>Non sono stati presentati nuovi dati di efficacia e sicurezza clinica: il profilo di sicur</w:t>
      </w:r>
      <w:r w:rsidR="00F90F1F" w:rsidRPr="00E07512">
        <w:rPr>
          <w:rFonts w:cs="Calibri"/>
          <w:sz w:val="24"/>
          <w:szCs w:val="24"/>
        </w:rPr>
        <w:t>ezza e l’efficacia del principi</w:t>
      </w:r>
      <w:r w:rsidR="00E61C88">
        <w:rPr>
          <w:rFonts w:cs="Calibri"/>
          <w:sz w:val="24"/>
          <w:szCs w:val="24"/>
        </w:rPr>
        <w:t>o</w:t>
      </w:r>
      <w:r w:rsidRPr="00E07512">
        <w:rPr>
          <w:rFonts w:cs="Calibri"/>
          <w:sz w:val="24"/>
          <w:szCs w:val="24"/>
        </w:rPr>
        <w:t xml:space="preserve"> attiv</w:t>
      </w:r>
      <w:r w:rsidR="00F90F1F" w:rsidRPr="00E07512">
        <w:rPr>
          <w:rFonts w:cs="Calibri"/>
          <w:sz w:val="24"/>
          <w:szCs w:val="24"/>
        </w:rPr>
        <w:t>i</w:t>
      </w:r>
      <w:r w:rsidRPr="00E07512">
        <w:rPr>
          <w:rFonts w:cs="Calibri"/>
          <w:sz w:val="24"/>
          <w:szCs w:val="24"/>
        </w:rPr>
        <w:t xml:space="preserve"> di </w:t>
      </w:r>
      <w:r w:rsidR="002F2220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14152A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 xml:space="preserve">è ben conosciuto. </w:t>
      </w:r>
    </w:p>
    <w:p w14:paraId="6A9FC9FB" w14:textId="77777777" w:rsidR="006727BD" w:rsidRPr="00E07512" w:rsidRDefault="006727BD" w:rsidP="006727BD">
      <w:pPr>
        <w:spacing w:after="0" w:line="240" w:lineRule="auto"/>
        <w:ind w:right="6"/>
        <w:jc w:val="both"/>
        <w:rPr>
          <w:rFonts w:cs="Calibri"/>
          <w:b/>
          <w:i/>
          <w:sz w:val="24"/>
          <w:szCs w:val="24"/>
          <w:highlight w:val="green"/>
          <w:lang w:eastAsia="it-IT"/>
        </w:rPr>
      </w:pPr>
    </w:p>
    <w:p w14:paraId="35755A08" w14:textId="77777777" w:rsidR="009254CC" w:rsidRPr="00F3740E" w:rsidRDefault="009254CC" w:rsidP="009254CC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u w:val="single"/>
          <w:lang w:eastAsia="it-IT"/>
        </w:rPr>
      </w:pPr>
    </w:p>
    <w:p w14:paraId="5D286869" w14:textId="77777777" w:rsidR="004E5A39" w:rsidRPr="00F3740E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b/>
          <w:sz w:val="24"/>
          <w:szCs w:val="24"/>
        </w:rPr>
      </w:pPr>
      <w:r w:rsidRPr="00F3740E">
        <w:rPr>
          <w:rFonts w:cs="Calibri"/>
          <w:b/>
          <w:sz w:val="24"/>
          <w:szCs w:val="24"/>
        </w:rPr>
        <w:t>Piano di Valutazione del Rischio (</w:t>
      </w:r>
      <w:r w:rsidRPr="00F3740E">
        <w:rPr>
          <w:rFonts w:cs="Calibri"/>
          <w:b/>
          <w:i/>
          <w:sz w:val="24"/>
          <w:szCs w:val="24"/>
        </w:rPr>
        <w:t>Risk Management Plan</w:t>
      </w:r>
      <w:r w:rsidRPr="00F3740E">
        <w:rPr>
          <w:rFonts w:cs="Calibri"/>
          <w:b/>
          <w:sz w:val="24"/>
          <w:szCs w:val="24"/>
        </w:rPr>
        <w:t xml:space="preserve"> - RMP)</w:t>
      </w:r>
    </w:p>
    <w:p w14:paraId="723A6F11" w14:textId="7A317FEA" w:rsidR="004E5A39" w:rsidRPr="00105DFC" w:rsidRDefault="004E5A39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  <w:r w:rsidRPr="00F3740E">
        <w:rPr>
          <w:rFonts w:cs="Calibri"/>
          <w:color w:val="000000"/>
          <w:sz w:val="24"/>
          <w:szCs w:val="24"/>
          <w:lang w:eastAsia="it-IT"/>
        </w:rPr>
        <w:t>E’ stato presentato un RMP in accordo a quanto previsto dalla Direttiva 2001/83/EU s.m.i. che descrive le attività di farmacovigilanza e gli interventi definiti al fine di identificare, caratterizzare, prevenire o minimi</w:t>
      </w:r>
      <w:r w:rsidRPr="00105DFC">
        <w:rPr>
          <w:rFonts w:cs="Calibri"/>
          <w:color w:val="000000"/>
          <w:sz w:val="24"/>
          <w:szCs w:val="24"/>
          <w:lang w:eastAsia="it-IT"/>
        </w:rPr>
        <w:t xml:space="preserve">zzare i rischi collegati all’uso di </w:t>
      </w:r>
      <w:r w:rsidR="002146DE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 w:rsidRPr="00105DFC">
        <w:rPr>
          <w:rFonts w:cs="Calibri"/>
          <w:color w:val="000000"/>
          <w:sz w:val="24"/>
          <w:szCs w:val="24"/>
          <w:lang w:eastAsia="it-IT"/>
        </w:rPr>
        <w:t>DOC</w:t>
      </w:r>
      <w:r w:rsidRPr="00105DFC">
        <w:rPr>
          <w:rFonts w:cs="Calibri"/>
          <w:color w:val="000000"/>
          <w:sz w:val="24"/>
          <w:szCs w:val="24"/>
          <w:lang w:eastAsia="it-IT"/>
        </w:rPr>
        <w:t>.</w:t>
      </w:r>
    </w:p>
    <w:p w14:paraId="46C3C0BB" w14:textId="77777777" w:rsidR="00265B61" w:rsidRPr="00105DFC" w:rsidRDefault="00265B61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  <w:r w:rsidRPr="00105DFC">
        <w:rPr>
          <w:rFonts w:cs="Calibri"/>
          <w:color w:val="000000"/>
          <w:sz w:val="24"/>
          <w:szCs w:val="24"/>
          <w:lang w:eastAsia="it-IT"/>
        </w:rPr>
        <w:t>Il riassunto delle problematiche di sicurezza è riportato nella tabella seguente.</w:t>
      </w:r>
    </w:p>
    <w:p w14:paraId="5EC5B2F4" w14:textId="77777777" w:rsidR="00265B61" w:rsidRPr="00105DFC" w:rsidRDefault="00265B61" w:rsidP="00265B6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732"/>
        <w:gridCol w:w="6024"/>
      </w:tblGrid>
      <w:tr w:rsidR="00265B61" w:rsidRPr="00105DFC" w14:paraId="595E3E60" w14:textId="77777777" w:rsidTr="0042214D">
        <w:trPr>
          <w:jc w:val="center"/>
        </w:trPr>
        <w:tc>
          <w:tcPr>
            <w:tcW w:w="1560" w:type="pct"/>
          </w:tcPr>
          <w:p w14:paraId="616F1F7E" w14:textId="77777777" w:rsidR="00265B61" w:rsidRPr="00105DFC" w:rsidRDefault="00265B61" w:rsidP="0042214D">
            <w:pPr>
              <w:pStyle w:val="TabletextrowsAgency"/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105DFC">
              <w:rPr>
                <w:rFonts w:ascii="Calibri" w:hAnsi="Calibri" w:cs="Calibri"/>
                <w:sz w:val="22"/>
                <w:szCs w:val="22"/>
                <w:lang w:eastAsia="en-GB"/>
              </w:rPr>
              <w:t>Rischi importanti identificati</w:t>
            </w:r>
          </w:p>
        </w:tc>
        <w:tc>
          <w:tcPr>
            <w:tcW w:w="3440" w:type="pct"/>
          </w:tcPr>
          <w:p w14:paraId="7F181157" w14:textId="2F2D643C" w:rsidR="00265B61" w:rsidRPr="00105DFC" w:rsidRDefault="00105DFC" w:rsidP="00BE7CDB">
            <w:pPr>
              <w:spacing w:after="0" w:line="240" w:lineRule="auto"/>
              <w:rPr>
                <w:rFonts w:cs="Calibri"/>
              </w:rPr>
            </w:pPr>
            <w:r w:rsidRPr="00105DFC">
              <w:rPr>
                <w:rFonts w:cs="Calibri"/>
              </w:rPr>
              <w:t>Nessuno</w:t>
            </w:r>
          </w:p>
        </w:tc>
      </w:tr>
      <w:tr w:rsidR="00265B61" w:rsidRPr="00105DFC" w14:paraId="5D8EAA1F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8BC7D0" w14:textId="77777777" w:rsidR="00265B61" w:rsidRPr="00105DFC" w:rsidRDefault="00265B61" w:rsidP="0042214D">
            <w:pPr>
              <w:pStyle w:val="TabletextrowsAgency"/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105DFC">
              <w:rPr>
                <w:rFonts w:ascii="Calibri" w:hAnsi="Calibri" w:cs="Calibri"/>
                <w:sz w:val="22"/>
                <w:szCs w:val="22"/>
                <w:lang w:eastAsia="en-GB"/>
              </w:rPr>
              <w:t>Rischi importanti potenziali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D2F5D" w14:textId="289D3A98" w:rsidR="00265B61" w:rsidRPr="00105DFC" w:rsidRDefault="00105DFC" w:rsidP="00BE7CDB">
            <w:pPr>
              <w:spacing w:after="0" w:line="240" w:lineRule="auto"/>
              <w:rPr>
                <w:rFonts w:cs="Calibri"/>
                <w:lang w:eastAsia="en-GB"/>
              </w:rPr>
            </w:pPr>
            <w:r w:rsidRPr="00105DFC">
              <w:rPr>
                <w:rFonts w:cs="Calibri"/>
                <w:lang w:eastAsia="en-GB"/>
              </w:rPr>
              <w:t>Nessuno</w:t>
            </w:r>
          </w:p>
        </w:tc>
      </w:tr>
      <w:tr w:rsidR="00265B61" w:rsidRPr="00E07512" w14:paraId="71012E45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214EF7" w14:textId="77777777" w:rsidR="00265B61" w:rsidRPr="00105DFC" w:rsidRDefault="00265B61" w:rsidP="0042214D">
            <w:pPr>
              <w:pStyle w:val="TabletextrowsAgency"/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105DFC">
              <w:rPr>
                <w:rFonts w:ascii="Calibri" w:hAnsi="Calibri" w:cs="Calibri"/>
                <w:sz w:val="22"/>
                <w:szCs w:val="22"/>
                <w:lang w:eastAsia="en-GB"/>
              </w:rPr>
              <w:t>Informazioni mancanti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DF27A8" w14:textId="68C8141C" w:rsidR="00265B61" w:rsidRPr="00105DFC" w:rsidRDefault="00105DFC" w:rsidP="00BE7CDB">
            <w:pPr>
              <w:spacing w:after="0" w:line="240" w:lineRule="auto"/>
              <w:rPr>
                <w:rFonts w:cs="Calibri"/>
              </w:rPr>
            </w:pPr>
            <w:r w:rsidRPr="00105DFC">
              <w:rPr>
                <w:rFonts w:cs="Calibri"/>
              </w:rPr>
              <w:t>Nessuno</w:t>
            </w:r>
          </w:p>
        </w:tc>
      </w:tr>
    </w:tbl>
    <w:p w14:paraId="55590FE4" w14:textId="77777777" w:rsidR="00265B61" w:rsidRPr="00E07512" w:rsidRDefault="00265B61" w:rsidP="00265B6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  <w:highlight w:val="yellow"/>
        </w:rPr>
      </w:pPr>
    </w:p>
    <w:p w14:paraId="54C37D5C" w14:textId="77777777" w:rsidR="004E5A39" w:rsidRPr="00E07512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Azioni routinarie di farmacovigilanza e di minimizzazione del rischio sono proposte per tutte le problematiche di sicurezza.</w:t>
      </w:r>
    </w:p>
    <w:p w14:paraId="6AAD22F6" w14:textId="77777777" w:rsidR="00461D93" w:rsidRPr="00E07512" w:rsidRDefault="004E5A39" w:rsidP="009254C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9254CC" w:rsidRPr="00E07512">
        <w:rPr>
          <w:rFonts w:cs="Calibri"/>
          <w:sz w:val="24"/>
          <w:szCs w:val="24"/>
        </w:rPr>
        <w:t xml:space="preserve">. </w:t>
      </w:r>
    </w:p>
    <w:p w14:paraId="5414F959" w14:textId="77777777" w:rsidR="004E5A39" w:rsidRPr="00E07512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43AEBE59" w14:textId="58051B2F" w:rsidR="009568D6" w:rsidRPr="00E07512" w:rsidRDefault="009254CC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Per maggiori dettagli circa le attività di farmacovigilanza previste per </w:t>
      </w:r>
      <w:r w:rsidR="0062132F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Pr="00E07512">
        <w:rPr>
          <w:rFonts w:cs="Calibri"/>
          <w:color w:val="000000"/>
          <w:sz w:val="24"/>
          <w:szCs w:val="24"/>
          <w:lang w:eastAsia="it-IT"/>
        </w:rPr>
        <w:t xml:space="preserve"> si può consultare il</w:t>
      </w:r>
      <w:r w:rsidRPr="00E07512">
        <w:rPr>
          <w:rFonts w:cs="Calibri"/>
          <w:sz w:val="24"/>
          <w:szCs w:val="24"/>
        </w:rPr>
        <w:t xml:space="preserve"> </w:t>
      </w:r>
      <w:r w:rsidR="009568D6" w:rsidRPr="00E07512">
        <w:rPr>
          <w:rFonts w:cs="Calibri"/>
          <w:sz w:val="24"/>
          <w:szCs w:val="24"/>
        </w:rPr>
        <w:t xml:space="preserve">“Summary </w:t>
      </w:r>
      <w:r w:rsidRPr="00E07512">
        <w:rPr>
          <w:rFonts w:cs="Calibri"/>
          <w:sz w:val="24"/>
          <w:szCs w:val="24"/>
        </w:rPr>
        <w:t>RMP</w:t>
      </w:r>
      <w:r w:rsidR="009568D6" w:rsidRPr="00E07512">
        <w:rPr>
          <w:rFonts w:cs="Calibri"/>
          <w:sz w:val="24"/>
          <w:szCs w:val="24"/>
        </w:rPr>
        <w:t>” allegato.</w:t>
      </w:r>
    </w:p>
    <w:p w14:paraId="7F5E2196" w14:textId="77777777" w:rsidR="00E61C88" w:rsidRPr="00E07512" w:rsidRDefault="00E61C88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3D76FF4E" w14:textId="77777777" w:rsidR="004E5A39" w:rsidRPr="00E07512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Conclusioni</w:t>
      </w:r>
    </w:p>
    <w:p w14:paraId="192D1D71" w14:textId="56F0B88F" w:rsidR="004E5A39" w:rsidRPr="00E07512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Per la richiesta di AIC di </w:t>
      </w:r>
      <w:r w:rsidR="00D32420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BE7CDB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>sono state presentate sufficienti informazioni cliniche.</w:t>
      </w:r>
    </w:p>
    <w:p w14:paraId="72CF442D" w14:textId="6BE521A9" w:rsidR="004E5A39" w:rsidRPr="00E07512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Il rapporto beneficio/rischio di </w:t>
      </w:r>
      <w:r w:rsidR="00D32420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BE7CDB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>è considerato favorevole dal punto di vista clinico.</w:t>
      </w:r>
    </w:p>
    <w:p w14:paraId="1477612B" w14:textId="77777777" w:rsidR="00F35F38" w:rsidRPr="00E07512" w:rsidRDefault="00F35F38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42D77AF9" w14:textId="77777777" w:rsidR="004E5A39" w:rsidRPr="00E07512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F957FD1" w14:textId="77777777" w:rsidR="004E5A39" w:rsidRPr="00E07512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CONSULTAZIONE SUL FOGLIO ILLUSTRATIVO</w:t>
      </w:r>
    </w:p>
    <w:p w14:paraId="1ADAC29E" w14:textId="5C9184AF" w:rsidR="00F44B8C" w:rsidRPr="00E07512" w:rsidRDefault="00245B04" w:rsidP="00F44B8C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Il bridging report </w:t>
      </w:r>
      <w:r w:rsidR="006222F7" w:rsidRPr="00E07512">
        <w:rPr>
          <w:rFonts w:cs="Calibri"/>
          <w:sz w:val="24"/>
          <w:szCs w:val="24"/>
        </w:rPr>
        <w:t xml:space="preserve">presentato </w:t>
      </w:r>
      <w:r w:rsidRPr="00E07512">
        <w:rPr>
          <w:rFonts w:cs="Calibri"/>
          <w:sz w:val="24"/>
          <w:szCs w:val="24"/>
        </w:rPr>
        <w:t xml:space="preserve">dalla </w:t>
      </w:r>
      <w:r w:rsidR="006222F7" w:rsidRPr="00E07512">
        <w:rPr>
          <w:rFonts w:cs="Calibri"/>
          <w:sz w:val="24"/>
          <w:szCs w:val="24"/>
        </w:rPr>
        <w:t>società</w:t>
      </w:r>
      <w:r w:rsidRPr="00E07512">
        <w:rPr>
          <w:rFonts w:cs="Calibri"/>
          <w:sz w:val="24"/>
          <w:szCs w:val="24"/>
        </w:rPr>
        <w:t xml:space="preserve"> è stato ritenuto accettabile</w:t>
      </w:r>
      <w:r w:rsidR="00195C98" w:rsidRPr="00E07512">
        <w:rPr>
          <w:rFonts w:cs="Calibri"/>
          <w:sz w:val="24"/>
          <w:szCs w:val="24"/>
        </w:rPr>
        <w:t xml:space="preserve"> </w:t>
      </w:r>
      <w:r w:rsidR="00F44B8C" w:rsidRPr="00E07512">
        <w:rPr>
          <w:rFonts w:cs="Calibri"/>
          <w:sz w:val="24"/>
          <w:szCs w:val="24"/>
        </w:rPr>
        <w:t xml:space="preserve">essendo stato confrontato con il foglio illustrativo </w:t>
      </w:r>
      <w:r w:rsidR="00E61C88">
        <w:rPr>
          <w:rFonts w:cs="Calibri"/>
          <w:sz w:val="24"/>
          <w:szCs w:val="24"/>
        </w:rPr>
        <w:t xml:space="preserve">di un </w:t>
      </w:r>
      <w:r w:rsidR="00F44B8C" w:rsidRPr="00E07512">
        <w:rPr>
          <w:rFonts w:cs="Calibri"/>
          <w:sz w:val="24"/>
          <w:szCs w:val="24"/>
        </w:rPr>
        <w:t xml:space="preserve">altro medicinale avente stesse informazioni sull’efficacia e la sicurezza ed essendo le differenze di stile, </w:t>
      </w:r>
      <w:r w:rsidR="00E61C88">
        <w:rPr>
          <w:rFonts w:cs="Calibri"/>
          <w:sz w:val="24"/>
          <w:szCs w:val="24"/>
        </w:rPr>
        <w:t>font e layout non significative.</w:t>
      </w:r>
      <w:r w:rsidR="00F44B8C" w:rsidRPr="00E07512">
        <w:rPr>
          <w:rFonts w:cs="Calibri"/>
          <w:sz w:val="24"/>
          <w:szCs w:val="24"/>
        </w:rPr>
        <w:t xml:space="preserve"> </w:t>
      </w:r>
    </w:p>
    <w:p w14:paraId="5568E716" w14:textId="77777777" w:rsidR="004631F3" w:rsidRPr="00E07512" w:rsidRDefault="004631F3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34761FF8" w14:textId="77777777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2B532EE" w14:textId="77777777" w:rsidR="004E5A39" w:rsidRPr="00E07512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07512">
        <w:rPr>
          <w:rFonts w:cs="Calibri"/>
          <w:b/>
          <w:sz w:val="24"/>
          <w:szCs w:val="24"/>
        </w:rPr>
        <w:t>CONCLUSIONI, VALUTAZIONE DEL RAPPORTO BENEFICIO/RISCHIO E RACCOMANDAZIONI</w:t>
      </w:r>
    </w:p>
    <w:p w14:paraId="6C6F9306" w14:textId="504936D2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La qualità di </w:t>
      </w:r>
      <w:r w:rsidR="00D32420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BE7CDB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>è accettabile e non sono state rilevate criticità da un punto di vista non clinico e clinico.</w:t>
      </w:r>
    </w:p>
    <w:p w14:paraId="0F6840B9" w14:textId="77777777" w:rsidR="00071E63" w:rsidRPr="00E07512" w:rsidRDefault="00071E63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D87B048" w14:textId="23C8FBD2" w:rsidR="00BE7CDB" w:rsidRPr="00E07512" w:rsidRDefault="00BE7CDB" w:rsidP="00BE7CDB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Lo studio di bioequivalenza e le sue conclusioni confermano che </w:t>
      </w:r>
      <w:r w:rsidR="00D32420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071E63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 xml:space="preserve">e il medicinale di riferimento </w:t>
      </w:r>
      <w:r w:rsidR="00E61C88" w:rsidRPr="00E61C88">
        <w:rPr>
          <w:rFonts w:cs="Calibri"/>
          <w:sz w:val="24"/>
          <w:szCs w:val="24"/>
        </w:rPr>
        <w:t>Sirdalud®</w:t>
      </w:r>
      <w:r w:rsidR="00071E63" w:rsidRPr="00E07512">
        <w:rPr>
          <w:rFonts w:cs="Calibri"/>
          <w:sz w:val="24"/>
          <w:szCs w:val="24"/>
        </w:rPr>
        <w:t xml:space="preserve"> </w:t>
      </w:r>
      <w:r w:rsidR="00F90F1F" w:rsidRPr="00E07512">
        <w:rPr>
          <w:rFonts w:cs="Calibri"/>
          <w:sz w:val="24"/>
          <w:szCs w:val="24"/>
        </w:rPr>
        <w:t>sono bioequivalenti</w:t>
      </w:r>
      <w:r w:rsidRPr="00E07512">
        <w:rPr>
          <w:rFonts w:cs="Calibri"/>
          <w:sz w:val="24"/>
          <w:szCs w:val="24"/>
        </w:rPr>
        <w:t>.</w:t>
      </w:r>
    </w:p>
    <w:p w14:paraId="5F485CC0" w14:textId="1C68BBA6" w:rsidR="00F44B8C" w:rsidRPr="00F44B8C" w:rsidRDefault="00F44B8C" w:rsidP="00F44B8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Calibri"/>
          <w:color w:val="000000"/>
          <w:sz w:val="24"/>
          <w:szCs w:val="24"/>
          <w:lang w:eastAsia="it-IT"/>
        </w:rPr>
      </w:pPr>
      <w:r w:rsidRPr="00F44B8C">
        <w:rPr>
          <w:rFonts w:eastAsia="Times New Roman" w:cs="Calibri"/>
          <w:color w:val="000000"/>
          <w:sz w:val="24"/>
          <w:szCs w:val="24"/>
          <w:lang w:eastAsia="it-IT"/>
        </w:rPr>
        <w:t> </w:t>
      </w:r>
    </w:p>
    <w:p w14:paraId="19301CE7" w14:textId="70715F7C" w:rsidR="004E5A39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Il rapporto beneficio/rischio </w:t>
      </w:r>
      <w:r w:rsidR="00071E63" w:rsidRPr="00E07512">
        <w:rPr>
          <w:rFonts w:cs="Calibri"/>
          <w:sz w:val="24"/>
          <w:szCs w:val="24"/>
        </w:rPr>
        <w:t xml:space="preserve">di </w:t>
      </w:r>
      <w:r w:rsidR="00D32420">
        <w:rPr>
          <w:rFonts w:cs="Calibri"/>
          <w:color w:val="000000"/>
          <w:sz w:val="24"/>
          <w:szCs w:val="24"/>
          <w:lang w:eastAsia="it-IT"/>
        </w:rPr>
        <w:t xml:space="preserve">TIZANIDINA </w:t>
      </w:r>
      <w:r w:rsidR="00B93C72">
        <w:rPr>
          <w:rFonts w:cs="Calibri"/>
          <w:color w:val="000000"/>
          <w:sz w:val="24"/>
          <w:szCs w:val="24"/>
          <w:lang w:eastAsia="it-IT"/>
        </w:rPr>
        <w:t>DOC</w:t>
      </w:r>
      <w:r w:rsidR="00071E63" w:rsidRPr="00E07512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E07512">
        <w:rPr>
          <w:rFonts w:cs="Calibri"/>
          <w:sz w:val="24"/>
          <w:szCs w:val="24"/>
        </w:rPr>
        <w:t xml:space="preserve">è considerato </w:t>
      </w:r>
      <w:r w:rsidR="00071E63" w:rsidRPr="00E07512">
        <w:rPr>
          <w:rFonts w:cs="Calibri"/>
          <w:sz w:val="24"/>
          <w:szCs w:val="24"/>
        </w:rPr>
        <w:t>favorevole per l’autorizzazione all’immis</w:t>
      </w:r>
      <w:r w:rsidR="00997F05" w:rsidRPr="00E07512">
        <w:rPr>
          <w:rFonts w:cs="Calibri"/>
          <w:sz w:val="24"/>
          <w:szCs w:val="24"/>
        </w:rPr>
        <w:t>s</w:t>
      </w:r>
      <w:r w:rsidR="00071E63" w:rsidRPr="00E07512">
        <w:rPr>
          <w:rFonts w:cs="Calibri"/>
          <w:sz w:val="24"/>
          <w:szCs w:val="24"/>
        </w:rPr>
        <w:t>ione in commercio</w:t>
      </w:r>
      <w:r w:rsidRPr="00E07512">
        <w:rPr>
          <w:rFonts w:cs="Calibri"/>
          <w:sz w:val="24"/>
          <w:szCs w:val="24"/>
        </w:rPr>
        <w:t>.</w:t>
      </w:r>
    </w:p>
    <w:p w14:paraId="65D184CF" w14:textId="77777777" w:rsidR="00071E63" w:rsidRPr="00E07512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E07512">
        <w:rPr>
          <w:rFonts w:cs="Calibr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E07512">
        <w:rPr>
          <w:rFonts w:cs="Calibri"/>
          <w:sz w:val="24"/>
          <w:szCs w:val="24"/>
        </w:rPr>
        <w:t xml:space="preserve">vigenti </w:t>
      </w:r>
      <w:r w:rsidRPr="00E07512">
        <w:rPr>
          <w:rFonts w:cs="Calibri"/>
          <w:sz w:val="24"/>
          <w:szCs w:val="24"/>
        </w:rPr>
        <w:t>linee guida</w:t>
      </w:r>
      <w:r w:rsidR="00071E63" w:rsidRPr="00E07512">
        <w:rPr>
          <w:rFonts w:cs="Calibri"/>
          <w:sz w:val="24"/>
          <w:szCs w:val="24"/>
        </w:rPr>
        <w:t xml:space="preserve"> e raccomandazioni italiane ed europee</w:t>
      </w:r>
      <w:r w:rsidRPr="00E07512">
        <w:rPr>
          <w:rFonts w:cs="Calibri"/>
          <w:sz w:val="24"/>
          <w:szCs w:val="24"/>
        </w:rPr>
        <w:t xml:space="preserve">. </w:t>
      </w:r>
    </w:p>
    <w:p w14:paraId="4B899744" w14:textId="082C4F5B" w:rsidR="00046E1D" w:rsidRPr="009A6E87" w:rsidRDefault="004E5A39" w:rsidP="009A6E87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E07512">
        <w:rPr>
          <w:rFonts w:cs="Calibri"/>
          <w:sz w:val="24"/>
          <w:szCs w:val="24"/>
        </w:rPr>
        <w:t xml:space="preserve">Questi documenti possono essere consultati sul sito istituzionale di AIFA </w:t>
      </w:r>
      <w:hyperlink r:id="rId12" w:anchor="/it/" w:history="1">
        <w:r w:rsidR="00F106A0" w:rsidRPr="00E07512">
          <w:rPr>
            <w:rStyle w:val="Collegamentoipertestuale"/>
            <w:rFonts w:cs="Calibri"/>
            <w:sz w:val="24"/>
            <w:szCs w:val="24"/>
          </w:rPr>
          <w:t>https://medicinali.aifa.gov.it/it/#/it/</w:t>
        </w:r>
      </w:hyperlink>
    </w:p>
    <w:sectPr w:rsidR="00046E1D" w:rsidRPr="009A6E87" w:rsidSect="00EF671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E6789" w14:textId="77777777" w:rsidR="0082697A" w:rsidRDefault="0082697A" w:rsidP="00C07183">
      <w:pPr>
        <w:spacing w:after="0" w:line="240" w:lineRule="auto"/>
      </w:pPr>
      <w:r>
        <w:separator/>
      </w:r>
    </w:p>
  </w:endnote>
  <w:endnote w:type="continuationSeparator" w:id="0">
    <w:p w14:paraId="47D9ED0D" w14:textId="77777777" w:rsidR="0082697A" w:rsidRDefault="0082697A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5F81" w14:textId="77777777" w:rsidR="00FE4E30" w:rsidRDefault="00FE4E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2CD0" w14:textId="77777777" w:rsidR="00FE4E30" w:rsidRPr="004A28BC" w:rsidRDefault="00FE4E30" w:rsidP="00FE4E30">
    <w:pPr>
      <w:spacing w:after="0" w:line="240" w:lineRule="auto"/>
      <w:rPr>
        <w:rFonts w:ascii="Times New Roman" w:eastAsia="Times New Roman" w:hAnsi="Times New Roman"/>
        <w:sz w:val="16"/>
        <w:szCs w:val="16"/>
        <w:lang w:eastAsia="it-IT"/>
      </w:rPr>
    </w:pPr>
    <w:r w:rsidRPr="004A28BC">
      <w:rPr>
        <w:rFonts w:eastAsia="Times New Roman" w:cs="Calibri"/>
        <w:color w:val="000000"/>
        <w:sz w:val="16"/>
        <w:szCs w:val="16"/>
        <w:lang w:eastAsia="it-IT"/>
      </w:rPr>
      <w:t>Documento ad uso Pubblico</w:t>
    </w:r>
  </w:p>
  <w:p w14:paraId="6E5AF3B0" w14:textId="1868D8D0" w:rsidR="00132B98" w:rsidRDefault="00132B98" w:rsidP="004A28BC">
    <w:pPr>
      <w:pStyle w:val="Pidipagina"/>
      <w:jc w:val="right"/>
    </w:pPr>
    <w:r w:rsidRPr="004A28BC">
      <w:rPr>
        <w:sz w:val="16"/>
        <w:szCs w:val="16"/>
      </w:rPr>
      <w:fldChar w:fldCharType="begin"/>
    </w:r>
    <w:r w:rsidRPr="004A28BC">
      <w:rPr>
        <w:sz w:val="16"/>
        <w:szCs w:val="16"/>
      </w:rPr>
      <w:instrText>PAGE   \* MERGEFORMAT</w:instrText>
    </w:r>
    <w:r w:rsidRPr="004A28BC">
      <w:rPr>
        <w:sz w:val="16"/>
        <w:szCs w:val="16"/>
      </w:rPr>
      <w:fldChar w:fldCharType="separate"/>
    </w:r>
    <w:r w:rsidR="00BD0211">
      <w:rPr>
        <w:noProof/>
        <w:sz w:val="16"/>
        <w:szCs w:val="16"/>
      </w:rPr>
      <w:t>10</w:t>
    </w:r>
    <w:r w:rsidRPr="004A28BC">
      <w:rPr>
        <w:sz w:val="16"/>
        <w:szCs w:val="16"/>
      </w:rPr>
      <w:fldChar w:fldCharType="end"/>
    </w:r>
  </w:p>
  <w:p w14:paraId="324395C2" w14:textId="77777777" w:rsidR="00132B98" w:rsidRDefault="00132B9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861AF" w14:textId="77777777" w:rsidR="00FE4E30" w:rsidRDefault="00FE4E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D5B6" w14:textId="77777777" w:rsidR="0082697A" w:rsidRDefault="0082697A" w:rsidP="00C07183">
      <w:pPr>
        <w:spacing w:after="0" w:line="240" w:lineRule="auto"/>
      </w:pPr>
      <w:r>
        <w:separator/>
      </w:r>
    </w:p>
  </w:footnote>
  <w:footnote w:type="continuationSeparator" w:id="0">
    <w:p w14:paraId="38A15DA1" w14:textId="77777777" w:rsidR="0082697A" w:rsidRDefault="0082697A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E17AC" w14:textId="77777777" w:rsidR="00FE4E30" w:rsidRDefault="00FE4E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8D442" w14:textId="77777777" w:rsidR="00132B98" w:rsidRDefault="00132B98" w:rsidP="00132B98">
    <w:pPr>
      <w:pStyle w:val="Intestazione"/>
    </w:pPr>
  </w:p>
  <w:p w14:paraId="7E43D1FF" w14:textId="77777777" w:rsidR="00132B98" w:rsidRPr="004A28BC" w:rsidRDefault="00132B98">
    <w:pPr>
      <w:pStyle w:val="Intestazion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4561" w14:textId="77777777" w:rsidR="00FE4E30" w:rsidRDefault="00FE4E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2E376D"/>
    <w:multiLevelType w:val="hybridMultilevel"/>
    <w:tmpl w:val="F8BA9C0E"/>
    <w:lvl w:ilvl="0" w:tplc="BA7805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6478AF"/>
    <w:multiLevelType w:val="hybridMultilevel"/>
    <w:tmpl w:val="0EC4CB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85FE8"/>
    <w:multiLevelType w:val="hybridMultilevel"/>
    <w:tmpl w:val="3CC25500"/>
    <w:lvl w:ilvl="0" w:tplc="764CBA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9567C6"/>
    <w:multiLevelType w:val="hybridMultilevel"/>
    <w:tmpl w:val="BE708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66964"/>
    <w:multiLevelType w:val="hybridMultilevel"/>
    <w:tmpl w:val="BB9ABB9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8B3AF7"/>
    <w:multiLevelType w:val="hybridMultilevel"/>
    <w:tmpl w:val="41A851CA"/>
    <w:lvl w:ilvl="0" w:tplc="B268C8BA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592669876">
    <w:abstractNumId w:val="0"/>
  </w:num>
  <w:num w:numId="2" w16cid:durableId="921259617">
    <w:abstractNumId w:val="5"/>
  </w:num>
  <w:num w:numId="3" w16cid:durableId="1114179988">
    <w:abstractNumId w:val="9"/>
  </w:num>
  <w:num w:numId="4" w16cid:durableId="1413165878">
    <w:abstractNumId w:val="2"/>
  </w:num>
  <w:num w:numId="5" w16cid:durableId="963999074">
    <w:abstractNumId w:val="1"/>
  </w:num>
  <w:num w:numId="6" w16cid:durableId="2106346200">
    <w:abstractNumId w:val="6"/>
  </w:num>
  <w:num w:numId="7" w16cid:durableId="1412392371">
    <w:abstractNumId w:val="4"/>
  </w:num>
  <w:num w:numId="8" w16cid:durableId="2122336659">
    <w:abstractNumId w:val="11"/>
  </w:num>
  <w:num w:numId="9" w16cid:durableId="1642539246">
    <w:abstractNumId w:val="8"/>
  </w:num>
  <w:num w:numId="10" w16cid:durableId="1183662534">
    <w:abstractNumId w:val="3"/>
  </w:num>
  <w:num w:numId="11" w16cid:durableId="887377088">
    <w:abstractNumId w:val="7"/>
  </w:num>
  <w:num w:numId="12" w16cid:durableId="20854448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AC"/>
    <w:rsid w:val="00000C0A"/>
    <w:rsid w:val="00010F5F"/>
    <w:rsid w:val="00013020"/>
    <w:rsid w:val="00014743"/>
    <w:rsid w:val="0002205E"/>
    <w:rsid w:val="00022511"/>
    <w:rsid w:val="00022F32"/>
    <w:rsid w:val="00023CEA"/>
    <w:rsid w:val="00035DB7"/>
    <w:rsid w:val="00046E1D"/>
    <w:rsid w:val="00050F6A"/>
    <w:rsid w:val="00062636"/>
    <w:rsid w:val="00071E63"/>
    <w:rsid w:val="000759F6"/>
    <w:rsid w:val="000808A3"/>
    <w:rsid w:val="000A4BA1"/>
    <w:rsid w:val="000A7024"/>
    <w:rsid w:val="000B7AC8"/>
    <w:rsid w:val="000C1389"/>
    <w:rsid w:val="000E1F86"/>
    <w:rsid w:val="000E4494"/>
    <w:rsid w:val="000E4A73"/>
    <w:rsid w:val="000F405C"/>
    <w:rsid w:val="000F658F"/>
    <w:rsid w:val="00102570"/>
    <w:rsid w:val="00104ECC"/>
    <w:rsid w:val="00105DFC"/>
    <w:rsid w:val="00107FA3"/>
    <w:rsid w:val="00111E9E"/>
    <w:rsid w:val="00112B76"/>
    <w:rsid w:val="00126BC8"/>
    <w:rsid w:val="00132B98"/>
    <w:rsid w:val="001334B1"/>
    <w:rsid w:val="0014152A"/>
    <w:rsid w:val="001460CA"/>
    <w:rsid w:val="0016377C"/>
    <w:rsid w:val="0016526F"/>
    <w:rsid w:val="00165D07"/>
    <w:rsid w:val="00166F2F"/>
    <w:rsid w:val="00172AED"/>
    <w:rsid w:val="0017490C"/>
    <w:rsid w:val="001850F5"/>
    <w:rsid w:val="00193AA3"/>
    <w:rsid w:val="00194300"/>
    <w:rsid w:val="00195C98"/>
    <w:rsid w:val="001A516D"/>
    <w:rsid w:val="001B2799"/>
    <w:rsid w:val="001B599D"/>
    <w:rsid w:val="001C15DF"/>
    <w:rsid w:val="001C4323"/>
    <w:rsid w:val="001F0D20"/>
    <w:rsid w:val="001F5E2F"/>
    <w:rsid w:val="002146DE"/>
    <w:rsid w:val="0021736D"/>
    <w:rsid w:val="00221C4C"/>
    <w:rsid w:val="00245B04"/>
    <w:rsid w:val="00252FE8"/>
    <w:rsid w:val="002554FE"/>
    <w:rsid w:val="00265B61"/>
    <w:rsid w:val="002744F3"/>
    <w:rsid w:val="00277A0E"/>
    <w:rsid w:val="00295EEA"/>
    <w:rsid w:val="00297F10"/>
    <w:rsid w:val="002A05B9"/>
    <w:rsid w:val="002A1800"/>
    <w:rsid w:val="002B662A"/>
    <w:rsid w:val="002C2324"/>
    <w:rsid w:val="002C2D9F"/>
    <w:rsid w:val="002C6E02"/>
    <w:rsid w:val="002E7CEC"/>
    <w:rsid w:val="002F2220"/>
    <w:rsid w:val="002F2543"/>
    <w:rsid w:val="002F4000"/>
    <w:rsid w:val="00300BEA"/>
    <w:rsid w:val="00305B55"/>
    <w:rsid w:val="003061E0"/>
    <w:rsid w:val="00323648"/>
    <w:rsid w:val="003238CF"/>
    <w:rsid w:val="00330DFA"/>
    <w:rsid w:val="00340DC4"/>
    <w:rsid w:val="0034442D"/>
    <w:rsid w:val="003460E9"/>
    <w:rsid w:val="00353838"/>
    <w:rsid w:val="003544C6"/>
    <w:rsid w:val="00367CE0"/>
    <w:rsid w:val="003702D0"/>
    <w:rsid w:val="00387CA8"/>
    <w:rsid w:val="00393C3C"/>
    <w:rsid w:val="003949F9"/>
    <w:rsid w:val="003A671A"/>
    <w:rsid w:val="003B0421"/>
    <w:rsid w:val="003B5C28"/>
    <w:rsid w:val="003B6829"/>
    <w:rsid w:val="003B68D5"/>
    <w:rsid w:val="003C054E"/>
    <w:rsid w:val="003D5B2F"/>
    <w:rsid w:val="003E1E83"/>
    <w:rsid w:val="0040456B"/>
    <w:rsid w:val="0041387F"/>
    <w:rsid w:val="004139CE"/>
    <w:rsid w:val="00413A84"/>
    <w:rsid w:val="004214DB"/>
    <w:rsid w:val="0042214D"/>
    <w:rsid w:val="0042243E"/>
    <w:rsid w:val="0042385D"/>
    <w:rsid w:val="00423A97"/>
    <w:rsid w:val="004241AC"/>
    <w:rsid w:val="00430DD1"/>
    <w:rsid w:val="00435039"/>
    <w:rsid w:val="00441071"/>
    <w:rsid w:val="00442A9D"/>
    <w:rsid w:val="00445657"/>
    <w:rsid w:val="00445DB2"/>
    <w:rsid w:val="004509BC"/>
    <w:rsid w:val="004532E2"/>
    <w:rsid w:val="00453821"/>
    <w:rsid w:val="004609F8"/>
    <w:rsid w:val="00461D93"/>
    <w:rsid w:val="004621A2"/>
    <w:rsid w:val="004631F3"/>
    <w:rsid w:val="00477F06"/>
    <w:rsid w:val="00482C32"/>
    <w:rsid w:val="00485A21"/>
    <w:rsid w:val="004979D3"/>
    <w:rsid w:val="004A28BC"/>
    <w:rsid w:val="004B20A8"/>
    <w:rsid w:val="004B5B15"/>
    <w:rsid w:val="004C2680"/>
    <w:rsid w:val="004D1A64"/>
    <w:rsid w:val="004E28E5"/>
    <w:rsid w:val="004E5A39"/>
    <w:rsid w:val="004E70F5"/>
    <w:rsid w:val="004F343B"/>
    <w:rsid w:val="00500ACA"/>
    <w:rsid w:val="005049A1"/>
    <w:rsid w:val="00504FC1"/>
    <w:rsid w:val="00510016"/>
    <w:rsid w:val="005250B6"/>
    <w:rsid w:val="0052550E"/>
    <w:rsid w:val="005256F6"/>
    <w:rsid w:val="00525803"/>
    <w:rsid w:val="00533F70"/>
    <w:rsid w:val="00543765"/>
    <w:rsid w:val="00547828"/>
    <w:rsid w:val="0056372C"/>
    <w:rsid w:val="005637E9"/>
    <w:rsid w:val="00567615"/>
    <w:rsid w:val="005744D4"/>
    <w:rsid w:val="00577746"/>
    <w:rsid w:val="00577DAC"/>
    <w:rsid w:val="005826A6"/>
    <w:rsid w:val="005950D6"/>
    <w:rsid w:val="005A466E"/>
    <w:rsid w:val="005A4BBD"/>
    <w:rsid w:val="005B4C97"/>
    <w:rsid w:val="005C2427"/>
    <w:rsid w:val="005C3568"/>
    <w:rsid w:val="005C45B7"/>
    <w:rsid w:val="005C7CF7"/>
    <w:rsid w:val="005D18E5"/>
    <w:rsid w:val="005D1B3A"/>
    <w:rsid w:val="005E148A"/>
    <w:rsid w:val="005F3735"/>
    <w:rsid w:val="005F54B1"/>
    <w:rsid w:val="00601021"/>
    <w:rsid w:val="00610BAB"/>
    <w:rsid w:val="00616815"/>
    <w:rsid w:val="0062132F"/>
    <w:rsid w:val="00621AE2"/>
    <w:rsid w:val="006222F7"/>
    <w:rsid w:val="006231AC"/>
    <w:rsid w:val="00642D6A"/>
    <w:rsid w:val="0064646C"/>
    <w:rsid w:val="00652AE5"/>
    <w:rsid w:val="00654D9E"/>
    <w:rsid w:val="006563DB"/>
    <w:rsid w:val="00663BCD"/>
    <w:rsid w:val="00664931"/>
    <w:rsid w:val="006727BD"/>
    <w:rsid w:val="006A3A37"/>
    <w:rsid w:val="006B311C"/>
    <w:rsid w:val="006B3E12"/>
    <w:rsid w:val="006C0722"/>
    <w:rsid w:val="006C08B4"/>
    <w:rsid w:val="006C5811"/>
    <w:rsid w:val="006D0E42"/>
    <w:rsid w:val="006D7B8C"/>
    <w:rsid w:val="006E0FA0"/>
    <w:rsid w:val="006E66D6"/>
    <w:rsid w:val="006F44C7"/>
    <w:rsid w:val="00712DB3"/>
    <w:rsid w:val="00716DF5"/>
    <w:rsid w:val="007170D7"/>
    <w:rsid w:val="007221B6"/>
    <w:rsid w:val="007270CD"/>
    <w:rsid w:val="0073254D"/>
    <w:rsid w:val="00745609"/>
    <w:rsid w:val="00747DF3"/>
    <w:rsid w:val="00747E46"/>
    <w:rsid w:val="00766E26"/>
    <w:rsid w:val="007730DB"/>
    <w:rsid w:val="00777E37"/>
    <w:rsid w:val="00784318"/>
    <w:rsid w:val="00784665"/>
    <w:rsid w:val="0078608F"/>
    <w:rsid w:val="0078680B"/>
    <w:rsid w:val="00797416"/>
    <w:rsid w:val="007A14F4"/>
    <w:rsid w:val="007A1C0E"/>
    <w:rsid w:val="007A536E"/>
    <w:rsid w:val="007C0622"/>
    <w:rsid w:val="007D2539"/>
    <w:rsid w:val="007E4C42"/>
    <w:rsid w:val="007E4E98"/>
    <w:rsid w:val="007F2A94"/>
    <w:rsid w:val="00811B01"/>
    <w:rsid w:val="00823F4C"/>
    <w:rsid w:val="00824EF9"/>
    <w:rsid w:val="0082618C"/>
    <w:rsid w:val="0082697A"/>
    <w:rsid w:val="008375CF"/>
    <w:rsid w:val="00841F48"/>
    <w:rsid w:val="008531ED"/>
    <w:rsid w:val="00853EC6"/>
    <w:rsid w:val="008547B3"/>
    <w:rsid w:val="008767B9"/>
    <w:rsid w:val="008819D4"/>
    <w:rsid w:val="00881BCB"/>
    <w:rsid w:val="0088216F"/>
    <w:rsid w:val="00890A5C"/>
    <w:rsid w:val="008A6FEC"/>
    <w:rsid w:val="008B214E"/>
    <w:rsid w:val="008B46E3"/>
    <w:rsid w:val="008B60D7"/>
    <w:rsid w:val="008C350A"/>
    <w:rsid w:val="008C36E1"/>
    <w:rsid w:val="008C3877"/>
    <w:rsid w:val="008C3D30"/>
    <w:rsid w:val="008C75F9"/>
    <w:rsid w:val="008D1529"/>
    <w:rsid w:val="008D7307"/>
    <w:rsid w:val="008E3D9E"/>
    <w:rsid w:val="008F117D"/>
    <w:rsid w:val="008F4178"/>
    <w:rsid w:val="008F69A7"/>
    <w:rsid w:val="009232AA"/>
    <w:rsid w:val="009254CC"/>
    <w:rsid w:val="00934E9E"/>
    <w:rsid w:val="00943785"/>
    <w:rsid w:val="009565BA"/>
    <w:rsid w:val="009568D6"/>
    <w:rsid w:val="00957832"/>
    <w:rsid w:val="009802F7"/>
    <w:rsid w:val="00983038"/>
    <w:rsid w:val="0098470E"/>
    <w:rsid w:val="0099120C"/>
    <w:rsid w:val="0099362A"/>
    <w:rsid w:val="00997646"/>
    <w:rsid w:val="00997F05"/>
    <w:rsid w:val="009A1D24"/>
    <w:rsid w:val="009A23DE"/>
    <w:rsid w:val="009A260F"/>
    <w:rsid w:val="009A6E87"/>
    <w:rsid w:val="009B03DB"/>
    <w:rsid w:val="009B1E44"/>
    <w:rsid w:val="009B6210"/>
    <w:rsid w:val="009C3E8B"/>
    <w:rsid w:val="009D3446"/>
    <w:rsid w:val="009E0140"/>
    <w:rsid w:val="009E2BC0"/>
    <w:rsid w:val="009E47DA"/>
    <w:rsid w:val="009F3867"/>
    <w:rsid w:val="009F395B"/>
    <w:rsid w:val="009F5439"/>
    <w:rsid w:val="009F584E"/>
    <w:rsid w:val="00A01AB1"/>
    <w:rsid w:val="00A03645"/>
    <w:rsid w:val="00A046AC"/>
    <w:rsid w:val="00A11FD6"/>
    <w:rsid w:val="00A247C5"/>
    <w:rsid w:val="00A250CE"/>
    <w:rsid w:val="00A27263"/>
    <w:rsid w:val="00A31CC1"/>
    <w:rsid w:val="00A40FF3"/>
    <w:rsid w:val="00A42470"/>
    <w:rsid w:val="00A43AC7"/>
    <w:rsid w:val="00A43DCB"/>
    <w:rsid w:val="00A47604"/>
    <w:rsid w:val="00A50265"/>
    <w:rsid w:val="00A62D55"/>
    <w:rsid w:val="00A66FAF"/>
    <w:rsid w:val="00A83AB4"/>
    <w:rsid w:val="00A84362"/>
    <w:rsid w:val="00A86F5A"/>
    <w:rsid w:val="00A908B9"/>
    <w:rsid w:val="00A925C1"/>
    <w:rsid w:val="00A929D9"/>
    <w:rsid w:val="00A966D1"/>
    <w:rsid w:val="00AA516E"/>
    <w:rsid w:val="00AC0DDE"/>
    <w:rsid w:val="00AC31D4"/>
    <w:rsid w:val="00AC3E39"/>
    <w:rsid w:val="00AC586B"/>
    <w:rsid w:val="00AD051C"/>
    <w:rsid w:val="00AD4BE6"/>
    <w:rsid w:val="00AE47E8"/>
    <w:rsid w:val="00AE55ED"/>
    <w:rsid w:val="00AF52E2"/>
    <w:rsid w:val="00B023E9"/>
    <w:rsid w:val="00B02668"/>
    <w:rsid w:val="00B03E01"/>
    <w:rsid w:val="00B10F17"/>
    <w:rsid w:val="00B1186F"/>
    <w:rsid w:val="00B15135"/>
    <w:rsid w:val="00B17D14"/>
    <w:rsid w:val="00B30431"/>
    <w:rsid w:val="00B51571"/>
    <w:rsid w:val="00B57E1F"/>
    <w:rsid w:val="00B72016"/>
    <w:rsid w:val="00B84F16"/>
    <w:rsid w:val="00B862CA"/>
    <w:rsid w:val="00B872AF"/>
    <w:rsid w:val="00B93C72"/>
    <w:rsid w:val="00BA0ACD"/>
    <w:rsid w:val="00BB2AF8"/>
    <w:rsid w:val="00BB7B54"/>
    <w:rsid w:val="00BC561B"/>
    <w:rsid w:val="00BC74C2"/>
    <w:rsid w:val="00BD0211"/>
    <w:rsid w:val="00BD39EB"/>
    <w:rsid w:val="00BE7CDB"/>
    <w:rsid w:val="00BF55B9"/>
    <w:rsid w:val="00BF7A42"/>
    <w:rsid w:val="00C00869"/>
    <w:rsid w:val="00C058E1"/>
    <w:rsid w:val="00C07183"/>
    <w:rsid w:val="00C15C8C"/>
    <w:rsid w:val="00C17BE2"/>
    <w:rsid w:val="00C21EEC"/>
    <w:rsid w:val="00C2462C"/>
    <w:rsid w:val="00C2565A"/>
    <w:rsid w:val="00C344A5"/>
    <w:rsid w:val="00C35B02"/>
    <w:rsid w:val="00C42AAC"/>
    <w:rsid w:val="00C50582"/>
    <w:rsid w:val="00C51FF1"/>
    <w:rsid w:val="00C56FA9"/>
    <w:rsid w:val="00C66597"/>
    <w:rsid w:val="00C7332C"/>
    <w:rsid w:val="00C74500"/>
    <w:rsid w:val="00C8335E"/>
    <w:rsid w:val="00CB1B8C"/>
    <w:rsid w:val="00CC1489"/>
    <w:rsid w:val="00CC52A3"/>
    <w:rsid w:val="00CC7AFF"/>
    <w:rsid w:val="00CD4358"/>
    <w:rsid w:val="00CD71B1"/>
    <w:rsid w:val="00CE62A1"/>
    <w:rsid w:val="00CF08A6"/>
    <w:rsid w:val="00D037ED"/>
    <w:rsid w:val="00D03837"/>
    <w:rsid w:val="00D1133E"/>
    <w:rsid w:val="00D20170"/>
    <w:rsid w:val="00D212AA"/>
    <w:rsid w:val="00D22C34"/>
    <w:rsid w:val="00D256AD"/>
    <w:rsid w:val="00D26A42"/>
    <w:rsid w:val="00D32420"/>
    <w:rsid w:val="00D36F9A"/>
    <w:rsid w:val="00D376CF"/>
    <w:rsid w:val="00D60600"/>
    <w:rsid w:val="00D64828"/>
    <w:rsid w:val="00D6711E"/>
    <w:rsid w:val="00DA5F9B"/>
    <w:rsid w:val="00DB021E"/>
    <w:rsid w:val="00DB359A"/>
    <w:rsid w:val="00DB51DF"/>
    <w:rsid w:val="00DC187E"/>
    <w:rsid w:val="00DD414B"/>
    <w:rsid w:val="00DF5BFE"/>
    <w:rsid w:val="00E07512"/>
    <w:rsid w:val="00E10D6C"/>
    <w:rsid w:val="00E207B1"/>
    <w:rsid w:val="00E20E87"/>
    <w:rsid w:val="00E25D34"/>
    <w:rsid w:val="00E26828"/>
    <w:rsid w:val="00E42578"/>
    <w:rsid w:val="00E43089"/>
    <w:rsid w:val="00E5360B"/>
    <w:rsid w:val="00E61C88"/>
    <w:rsid w:val="00E629BF"/>
    <w:rsid w:val="00E83F8D"/>
    <w:rsid w:val="00E8749D"/>
    <w:rsid w:val="00EA2159"/>
    <w:rsid w:val="00EB4398"/>
    <w:rsid w:val="00EC33C5"/>
    <w:rsid w:val="00EC3589"/>
    <w:rsid w:val="00ED19E3"/>
    <w:rsid w:val="00ED72E4"/>
    <w:rsid w:val="00EE1D53"/>
    <w:rsid w:val="00EE2AC9"/>
    <w:rsid w:val="00EF062E"/>
    <w:rsid w:val="00EF4C83"/>
    <w:rsid w:val="00EF6711"/>
    <w:rsid w:val="00F069A5"/>
    <w:rsid w:val="00F106A0"/>
    <w:rsid w:val="00F119D8"/>
    <w:rsid w:val="00F1246A"/>
    <w:rsid w:val="00F27C7F"/>
    <w:rsid w:val="00F35F38"/>
    <w:rsid w:val="00F3740E"/>
    <w:rsid w:val="00F44B8C"/>
    <w:rsid w:val="00F61CF9"/>
    <w:rsid w:val="00F65BF7"/>
    <w:rsid w:val="00F66767"/>
    <w:rsid w:val="00F67DFC"/>
    <w:rsid w:val="00F70FE8"/>
    <w:rsid w:val="00F75500"/>
    <w:rsid w:val="00F76F77"/>
    <w:rsid w:val="00F85989"/>
    <w:rsid w:val="00F90F1F"/>
    <w:rsid w:val="00F9470C"/>
    <w:rsid w:val="00F96473"/>
    <w:rsid w:val="00F964BE"/>
    <w:rsid w:val="00FA17CE"/>
    <w:rsid w:val="00FA2702"/>
    <w:rsid w:val="00FA271D"/>
    <w:rsid w:val="00FB3BF5"/>
    <w:rsid w:val="00FB4181"/>
    <w:rsid w:val="00FC0183"/>
    <w:rsid w:val="00FC053B"/>
    <w:rsid w:val="00FD415D"/>
    <w:rsid w:val="00FE4E30"/>
    <w:rsid w:val="00FE5ADA"/>
    <w:rsid w:val="00FE7173"/>
    <w:rsid w:val="00FF2DE3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0EF5"/>
  <w15:docId w15:val="{7C0F00BC-1E19-49CF-9BB6-DAE94B34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0FA0"/>
    <w:pPr>
      <w:spacing w:after="200" w:line="276" w:lineRule="auto"/>
    </w:pPr>
    <w:rPr>
      <w:sz w:val="22"/>
      <w:szCs w:val="22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56761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rPr>
      <w:sz w:val="22"/>
      <w:szCs w:val="22"/>
      <w:lang w:val="it-IT" w:eastAsia="en-US"/>
    </w:rPr>
  </w:style>
  <w:style w:type="paragraph" w:customStyle="1" w:styleId="BodytextAgency">
    <w:name w:val="Body text (Agency)"/>
    <w:basedOn w:val="Normale"/>
    <w:uiPriority w:val="99"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  <w:style w:type="character" w:styleId="Collegamentovisitato">
    <w:name w:val="FollowedHyperlink"/>
    <w:basedOn w:val="Carpredefinitoparagrafo"/>
    <w:uiPriority w:val="99"/>
    <w:semiHidden/>
    <w:unhideWhenUsed/>
    <w:rsid w:val="00A42470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119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dicinali.aifa.gov.it/i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dicinali.aifa.gov.it/it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dicinali.aifa.gov.it/it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60F8A-E66D-4D7B-AB01-1195E3D560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9421ec-8c97-4074-8290-4fec1fc13b27}" enabled="0" method="" siteId="{f79421ec-8c97-4074-8290-4fec1fc13b2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2362</Words>
  <Characters>14531</Characters>
  <Application>Microsoft Office Word</Application>
  <DocSecurity>0</DocSecurity>
  <Lines>403</Lines>
  <Paragraphs>194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16699</CharactersWithSpaces>
  <SharedDoc>false</SharedDoc>
  <HLinks>
    <vt:vector size="24" baseType="variant">
      <vt:variant>
        <vt:i4>6291574</vt:i4>
      </vt:variant>
      <vt:variant>
        <vt:i4>9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  <vt:variant>
        <vt:i4>6291574</vt:i4>
      </vt:variant>
      <vt:variant>
        <vt:i4>6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  <vt:variant>
        <vt:i4>6291574</vt:i4>
      </vt:variant>
      <vt:variant>
        <vt:i4>3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/it/i</vt:lpwstr>
      </vt:variant>
      <vt:variant>
        <vt:i4>6291574</vt:i4>
      </vt:variant>
      <vt:variant>
        <vt:i4>0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AIFA</dc:creator>
  <cp:keywords/>
  <cp:revision>5</cp:revision>
  <dcterms:created xsi:type="dcterms:W3CDTF">2026-03-23T09:26:00Z</dcterms:created>
  <dcterms:modified xsi:type="dcterms:W3CDTF">2026-03-23T15:05:00Z</dcterms:modified>
</cp:coreProperties>
</file>